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jc w:val="center"/>
        <w:textAlignment w:val="auto"/>
        <w:rPr>
          <w:rStyle w:val="18"/>
          <w:rFonts w:hint="eastAsia" w:ascii="方正小标宋简体" w:hAnsi="方正小标宋简体" w:eastAsia="方正小标宋简体" w:cs="方正小标宋简体"/>
          <w:b w:val="0"/>
          <w:bCs w:val="0"/>
          <w:sz w:val="44"/>
          <w:szCs w:val="32"/>
        </w:rPr>
      </w:pPr>
      <w:r>
        <w:rPr>
          <w:rStyle w:val="18"/>
          <w:rFonts w:hint="eastAsia" w:ascii="方正小标宋简体" w:hAnsi="方正小标宋简体" w:eastAsia="方正小标宋简体" w:cs="方正小标宋简体"/>
          <w:b w:val="0"/>
          <w:bCs w:val="0"/>
          <w:sz w:val="44"/>
          <w:szCs w:val="32"/>
        </w:rPr>
        <w:t>辽宁省省级科技计划资金绩效评价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eastAsia="zh-CN"/>
        </w:rPr>
      </w:pPr>
      <w:r>
        <w:rPr>
          <w:rStyle w:val="18"/>
          <w:rFonts w:hint="eastAsia" w:ascii="方正小标宋简体" w:hAnsi="方正小标宋简体" w:eastAsia="方正小标宋简体" w:cs="方正小标宋简体"/>
          <w:b w:val="0"/>
          <w:bCs w:val="0"/>
          <w:sz w:val="44"/>
          <w:szCs w:val="32"/>
        </w:rPr>
        <w:t>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eastAsia="zh-CN"/>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sz w:val="32"/>
          <w:szCs w:val="32"/>
        </w:rPr>
      </w:pPr>
      <w:r>
        <w:rPr>
          <w:rFonts w:hint="eastAsia" w:ascii="方正楷体简体" w:hAnsi="方正楷体简体" w:eastAsia="方正楷体简体" w:cs="方正楷体简体"/>
          <w:b/>
          <w:sz w:val="32"/>
          <w:szCs w:val="32"/>
        </w:rPr>
        <w:t>第一条</w:t>
      </w:r>
      <w:r>
        <w:rPr>
          <w:rFonts w:hint="eastAsia" w:ascii="仿宋" w:hAnsi="仿宋" w:eastAsia="方正仿宋简体"/>
          <w:sz w:val="32"/>
          <w:szCs w:val="32"/>
        </w:rPr>
        <w:t> </w:t>
      </w:r>
      <w:r>
        <w:rPr>
          <w:rFonts w:hint="eastAsia" w:ascii="仿宋" w:hAnsi="仿宋" w:eastAsia="方正仿宋简体" w:cs="仿宋_GB2312"/>
          <w:sz w:val="32"/>
          <w:szCs w:val="32"/>
        </w:rPr>
        <w:t>为规范和加强</w:t>
      </w:r>
      <w:r>
        <w:rPr>
          <w:rFonts w:hint="eastAsia" w:ascii="仿宋" w:hAnsi="仿宋" w:eastAsia="方正仿宋简体"/>
          <w:sz w:val="32"/>
          <w:szCs w:val="32"/>
        </w:rPr>
        <w:t>省级科技计划</w:t>
      </w:r>
      <w:r>
        <w:rPr>
          <w:rFonts w:hint="eastAsia" w:ascii="仿宋" w:hAnsi="仿宋" w:eastAsia="方正仿宋简体" w:cs="仿宋_GB2312"/>
          <w:sz w:val="32"/>
          <w:szCs w:val="32"/>
        </w:rPr>
        <w:t>绩效评价工作，建立科学、合理的绩效评价制度体系，优化科技资源配置和管理决策，提高科技计划实施成效和资金使用绩效，依据中共中央、国务院《关于全面实施预算绩效管理的意见》（中办发</w:t>
      </w:r>
      <w:r>
        <w:rPr>
          <w:rFonts w:hint="eastAsia"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2018</w:t>
      </w:r>
      <w:r>
        <w:rPr>
          <w:rFonts w:hint="eastAsia" w:ascii="Times New Roman" w:hAnsi="Times New Roman" w:eastAsia="方正仿宋简体" w:cs="Times New Roman"/>
          <w:sz w:val="32"/>
          <w:szCs w:val="32"/>
        </w:rPr>
        <w:t>〕34</w:t>
      </w:r>
      <w:r>
        <w:rPr>
          <w:rFonts w:hint="eastAsia" w:ascii="仿宋" w:hAnsi="仿宋" w:eastAsia="方正仿宋简体" w:cs="仿宋_GB2312"/>
          <w:sz w:val="32"/>
          <w:szCs w:val="32"/>
        </w:rPr>
        <w:t>号）、《关于改革完善中央财政科研经费管理的若干意见》（国办发</w:t>
      </w:r>
      <w:r>
        <w:rPr>
          <w:rFonts w:hint="eastAsia" w:ascii="Times New Roman" w:hAnsi="Times New Roman" w:eastAsia="方正仿宋简体" w:cs="Times New Roman"/>
          <w:sz w:val="32"/>
          <w:szCs w:val="32"/>
        </w:rPr>
        <w:t>〔2021〕32</w:t>
      </w:r>
      <w:r>
        <w:rPr>
          <w:rFonts w:hint="eastAsia" w:ascii="仿宋" w:hAnsi="仿宋" w:eastAsia="方正仿宋简体" w:cs="仿宋_GB2312"/>
          <w:sz w:val="32"/>
          <w:szCs w:val="32"/>
        </w:rPr>
        <w:t>号）、《关于全面实施绩效管理实施意见》（辽委发</w:t>
      </w:r>
      <w:r>
        <w:rPr>
          <w:rFonts w:hint="eastAsia" w:ascii="Times New Roman" w:hAnsi="Times New Roman" w:eastAsia="方正仿宋简体" w:cs="Times New Roman"/>
          <w:sz w:val="32"/>
          <w:szCs w:val="32"/>
        </w:rPr>
        <w:t>〔2019〕17</w:t>
      </w:r>
      <w:r>
        <w:rPr>
          <w:rFonts w:hint="eastAsia" w:ascii="仿宋" w:hAnsi="仿宋" w:eastAsia="方正仿宋简体" w:cs="仿宋_GB2312"/>
          <w:sz w:val="32"/>
          <w:szCs w:val="32"/>
        </w:rPr>
        <w:t>号）、《关于改革完善省级财政科研经费管理的实施意见》（辽财教</w:t>
      </w:r>
      <w:r>
        <w:rPr>
          <w:rFonts w:hint="eastAsia" w:ascii="Times New Roman" w:hAnsi="Times New Roman" w:eastAsia="方正仿宋简体" w:cs="Times New Roman"/>
          <w:sz w:val="32"/>
          <w:szCs w:val="32"/>
        </w:rPr>
        <w:t>〔2022〕142</w:t>
      </w:r>
      <w:r>
        <w:rPr>
          <w:rFonts w:hint="eastAsia" w:ascii="仿宋" w:hAnsi="仿宋" w:eastAsia="方正仿宋简体" w:cs="仿宋_GB2312"/>
          <w:sz w:val="32"/>
          <w:szCs w:val="32"/>
        </w:rPr>
        <w:t>号）、《辽宁省</w:t>
      </w:r>
      <w:r>
        <w:rPr>
          <w:rFonts w:hint="eastAsia" w:ascii="仿宋" w:hAnsi="仿宋" w:eastAsia="方正仿宋简体"/>
          <w:sz w:val="32"/>
          <w:szCs w:val="32"/>
          <w:shd w:val="clear" w:color="auto" w:fill="FFFFFF"/>
        </w:rPr>
        <w:t>科技计划项目管理办法》</w:t>
      </w:r>
      <w:r>
        <w:rPr>
          <w:rFonts w:hint="eastAsia" w:ascii="仿宋" w:hAnsi="仿宋" w:eastAsia="方正仿宋简体" w:cs="仿宋_GB2312"/>
          <w:sz w:val="32"/>
          <w:szCs w:val="32"/>
        </w:rPr>
        <w:t>（辽科发</w:t>
      </w:r>
      <w:r>
        <w:rPr>
          <w:rFonts w:hint="eastAsia" w:ascii="Times New Roman" w:hAnsi="Times New Roman" w:eastAsia="方正仿宋简体" w:cs="Times New Roman"/>
          <w:sz w:val="32"/>
          <w:szCs w:val="32"/>
        </w:rPr>
        <w:t>〔2022〕17</w:t>
      </w:r>
      <w:r>
        <w:rPr>
          <w:rFonts w:hint="eastAsia" w:ascii="仿宋" w:hAnsi="仿宋" w:eastAsia="方正仿宋简体" w:cs="仿宋_GB2312"/>
          <w:sz w:val="32"/>
          <w:szCs w:val="32"/>
        </w:rPr>
        <w:t>号）等文件规定，制定本办法。</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sz w:val="32"/>
          <w:szCs w:val="32"/>
        </w:rPr>
      </w:pPr>
      <w:r>
        <w:rPr>
          <w:rFonts w:hint="eastAsia" w:ascii="方正楷体简体" w:hAnsi="方正楷体简体" w:eastAsia="方正楷体简体" w:cs="方正楷体简体"/>
          <w:b/>
          <w:sz w:val="32"/>
          <w:szCs w:val="32"/>
        </w:rPr>
        <w:t>第二条</w:t>
      </w:r>
      <w:r>
        <w:rPr>
          <w:rFonts w:hint="eastAsia" w:ascii="仿宋" w:hAnsi="仿宋" w:eastAsia="方正仿宋简体"/>
          <w:sz w:val="32"/>
          <w:szCs w:val="32"/>
        </w:rPr>
        <w:t> </w:t>
      </w:r>
      <w:r>
        <w:rPr>
          <w:rFonts w:hint="eastAsia" w:ascii="仿宋" w:hAnsi="仿宋" w:eastAsia="方正仿宋简体" w:cs="仿宋_GB2312"/>
          <w:sz w:val="32"/>
          <w:szCs w:val="32"/>
        </w:rPr>
        <w:t>本办法适用于</w:t>
      </w:r>
      <w:r>
        <w:rPr>
          <w:rFonts w:hint="eastAsia" w:ascii="仿宋" w:hAnsi="仿宋" w:eastAsia="方正仿宋简体"/>
          <w:sz w:val="32"/>
          <w:szCs w:val="32"/>
        </w:rPr>
        <w:t>辽宁省科学技术厅</w:t>
      </w:r>
      <w:r>
        <w:rPr>
          <w:rFonts w:hint="eastAsia" w:ascii="仿宋" w:hAnsi="仿宋" w:eastAsia="方正仿宋简体" w:cs="仿宋_GB2312"/>
          <w:sz w:val="32"/>
          <w:szCs w:val="32"/>
        </w:rPr>
        <w:t>（以下简称省科技厅）对主导实施的省级</w:t>
      </w:r>
      <w:r>
        <w:rPr>
          <w:rFonts w:ascii="仿宋" w:hAnsi="仿宋" w:eastAsia="方正仿宋简体" w:cs="仿宋_GB2312"/>
          <w:sz w:val="32"/>
          <w:szCs w:val="32"/>
        </w:rPr>
        <w:t>科技</w:t>
      </w:r>
      <w:r>
        <w:rPr>
          <w:rFonts w:hint="eastAsia" w:ascii="仿宋" w:hAnsi="仿宋" w:eastAsia="方正仿宋简体" w:cs="仿宋_GB2312"/>
          <w:sz w:val="32"/>
          <w:szCs w:val="32"/>
        </w:rPr>
        <w:t>计划的决策部署、组织管理、成果产出、创新质量和贡献等</w:t>
      </w:r>
      <w:r>
        <w:rPr>
          <w:rFonts w:ascii="仿宋" w:hAnsi="仿宋" w:eastAsia="方正仿宋简体" w:cs="仿宋_GB2312"/>
          <w:sz w:val="32"/>
          <w:szCs w:val="32"/>
        </w:rPr>
        <w:t>开展的绩效管理工作。</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bCs/>
          <w:sz w:val="32"/>
          <w:szCs w:val="32"/>
        </w:rPr>
        <w:t>第三条</w:t>
      </w:r>
      <w:r>
        <w:rPr>
          <w:rFonts w:hint="eastAsia" w:ascii="仿宋" w:hAnsi="仿宋" w:eastAsia="方正仿宋简体"/>
          <w:sz w:val="32"/>
          <w:szCs w:val="32"/>
        </w:rPr>
        <w:t xml:space="preserve"> </w:t>
      </w:r>
      <w:r>
        <w:rPr>
          <w:rFonts w:hint="eastAsia" w:ascii="仿宋" w:hAnsi="仿宋" w:eastAsia="方正仿宋简体" w:cs="仿宋_GB2312"/>
          <w:sz w:val="32"/>
          <w:szCs w:val="32"/>
        </w:rPr>
        <w:t>绩效评价根据评价对象分为科技计划项目绩效评价、科技计划整体绩效评价等。科技计划项目绩效评价是指对省级科技计划单个项目进行的关键节点评价、后评价等评价活动。科技计划整体绩效评价是指按照省财政厅年度工作要求，对省科技厅作为主管部门的专项资金进行的整体评价。</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第四条</w:t>
      </w:r>
      <w:r>
        <w:rPr>
          <w:rFonts w:hint="eastAsia" w:ascii="仿宋" w:hAnsi="仿宋" w:eastAsia="方正仿宋简体" w:cs="仿宋_GB2312"/>
          <w:sz w:val="32"/>
          <w:szCs w:val="32"/>
        </w:rPr>
        <w:t> 绩效评价遵循“全程绩效、放管结合、以评促管、激励引导”的原则，结合预算编制、计划统筹、项目管理、科研诚信等工作需要，运用科学、规范的评价指标、评价标准和评价方法构建绩效评价指标体系，形成全过程绩效评价管理。</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w:t>
      </w:r>
      <w:r>
        <w:rPr>
          <w:rFonts w:hint="eastAsia" w:ascii="方正楷体简体" w:hAnsi="方正楷体简体" w:eastAsia="方正楷体简体" w:cs="方正楷体简体"/>
          <w:b/>
          <w:sz w:val="32"/>
          <w:szCs w:val="32"/>
          <w:lang w:eastAsia="zh-Hans"/>
        </w:rPr>
        <w:t>五</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 绩效评价的主要依据：</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（一）国家相关法律、行政法规及部委规章；</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（二）我省相关地方性法规、政府规章和科技、经济与社会发展规划等方针政策；</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w:t>
      </w:r>
      <w:r>
        <w:rPr>
          <w:rFonts w:hint="eastAsia" w:ascii="仿宋" w:hAnsi="仿宋" w:eastAsia="方正仿宋简体" w:cs="仿宋_GB2312"/>
          <w:sz w:val="32"/>
          <w:szCs w:val="32"/>
          <w:lang w:eastAsia="zh-Hans"/>
        </w:rPr>
        <w:t>三</w:t>
      </w:r>
      <w:r>
        <w:rPr>
          <w:rFonts w:hint="eastAsia" w:ascii="仿宋" w:hAnsi="仿宋" w:eastAsia="方正仿宋简体" w:cs="仿宋_GB2312"/>
          <w:sz w:val="32"/>
          <w:szCs w:val="32"/>
        </w:rPr>
        <w:t>）</w:t>
      </w:r>
      <w:r>
        <w:rPr>
          <w:rFonts w:hint="eastAsia" w:ascii="仿宋" w:hAnsi="仿宋" w:eastAsia="方正仿宋简体" w:cs="仿宋_GB2312"/>
          <w:sz w:val="32"/>
          <w:szCs w:val="32"/>
          <w:lang w:eastAsia="zh-Hans"/>
        </w:rPr>
        <w:t>省科技计划</w:t>
      </w:r>
      <w:r>
        <w:rPr>
          <w:rFonts w:hint="eastAsia" w:ascii="仿宋" w:hAnsi="仿宋" w:eastAsia="方正仿宋简体" w:cs="仿宋_GB2312"/>
          <w:sz w:val="32"/>
          <w:szCs w:val="32"/>
        </w:rPr>
        <w:t>项目</w:t>
      </w:r>
      <w:r>
        <w:rPr>
          <w:rFonts w:hint="eastAsia" w:ascii="仿宋" w:hAnsi="仿宋" w:eastAsia="方正仿宋简体" w:cs="仿宋_GB2312"/>
          <w:sz w:val="32"/>
          <w:szCs w:val="32"/>
          <w:lang w:eastAsia="zh-Hans"/>
        </w:rPr>
        <w:t>管理办法等文件规定</w:t>
      </w:r>
      <w:r>
        <w:rPr>
          <w:rFonts w:hint="eastAsia" w:ascii="仿宋" w:hAnsi="仿宋" w:eastAsia="方正仿宋简体" w:cs="仿宋_GB2312"/>
          <w:sz w:val="32"/>
          <w:szCs w:val="32"/>
        </w:rPr>
        <w:t>、</w:t>
      </w:r>
      <w:r>
        <w:rPr>
          <w:rFonts w:hint="eastAsia" w:ascii="仿宋" w:hAnsi="仿宋" w:eastAsia="方正仿宋简体" w:cs="仿宋_GB2312"/>
          <w:sz w:val="32"/>
          <w:szCs w:val="32"/>
          <w:lang w:eastAsia="zh-Hans"/>
        </w:rPr>
        <w:t>发布的</w:t>
      </w:r>
      <w:r>
        <w:rPr>
          <w:rFonts w:hint="eastAsia" w:ascii="仿宋" w:hAnsi="仿宋" w:eastAsia="方正仿宋简体" w:cs="仿宋_GB2312"/>
          <w:sz w:val="32"/>
          <w:szCs w:val="32"/>
        </w:rPr>
        <w:t>项目指南</w:t>
      </w:r>
      <w:r>
        <w:rPr>
          <w:rFonts w:hint="eastAsia" w:ascii="仿宋" w:hAnsi="仿宋" w:eastAsia="方正仿宋简体" w:cs="仿宋_GB2312"/>
          <w:sz w:val="32"/>
          <w:szCs w:val="32"/>
          <w:lang w:eastAsia="zh-Hans"/>
        </w:rPr>
        <w:t>等、项目承担单位内控</w:t>
      </w:r>
      <w:r>
        <w:rPr>
          <w:rFonts w:hint="eastAsia" w:ascii="仿宋" w:hAnsi="仿宋" w:eastAsia="方正仿宋简体" w:cs="仿宋_GB2312"/>
          <w:sz w:val="32"/>
          <w:szCs w:val="32"/>
        </w:rPr>
        <w:t>管理制度</w:t>
      </w:r>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财务会计资料</w:t>
      </w:r>
      <w:r>
        <w:rPr>
          <w:rFonts w:hint="eastAsia" w:ascii="仿宋" w:hAnsi="仿宋" w:eastAsia="方正仿宋简体" w:cs="仿宋_GB2312"/>
          <w:sz w:val="32"/>
          <w:szCs w:val="32"/>
          <w:lang w:eastAsia="zh-Hans"/>
        </w:rPr>
        <w:t>等</w:t>
      </w:r>
      <w:r>
        <w:rPr>
          <w:rFonts w:hint="eastAsia" w:ascii="仿宋" w:hAnsi="仿宋" w:eastAsia="方正仿宋简体" w:cs="仿宋_GB2312"/>
          <w:sz w:val="32"/>
          <w:szCs w:val="32"/>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w:t>
      </w:r>
      <w:r>
        <w:rPr>
          <w:rFonts w:hint="eastAsia" w:ascii="仿宋" w:hAnsi="仿宋" w:eastAsia="方正仿宋简体" w:cs="仿宋_GB2312"/>
          <w:sz w:val="32"/>
          <w:szCs w:val="32"/>
          <w:lang w:eastAsia="zh-Hans"/>
        </w:rPr>
        <w:t>四</w:t>
      </w:r>
      <w:r>
        <w:rPr>
          <w:rFonts w:hint="eastAsia" w:ascii="仿宋" w:hAnsi="仿宋" w:eastAsia="方正仿宋简体" w:cs="仿宋_GB2312"/>
          <w:sz w:val="32"/>
          <w:szCs w:val="32"/>
        </w:rPr>
        <w:t>）项目任务</w:t>
      </w:r>
      <w:r>
        <w:rPr>
          <w:rFonts w:hint="eastAsia" w:ascii="仿宋" w:hAnsi="仿宋" w:eastAsia="方正仿宋简体" w:cs="仿宋_GB2312"/>
          <w:sz w:val="32"/>
          <w:szCs w:val="32"/>
          <w:lang w:eastAsia="zh-Hans"/>
        </w:rPr>
        <w:t>书中考核指</w:t>
      </w:r>
      <w:r>
        <w:rPr>
          <w:rFonts w:hint="eastAsia" w:ascii="仿宋" w:hAnsi="仿宋" w:eastAsia="方正仿宋简体" w:cs="仿宋_GB2312"/>
          <w:sz w:val="32"/>
          <w:szCs w:val="32"/>
        </w:rPr>
        <w:t>标、绩效</w:t>
      </w:r>
      <w:r>
        <w:rPr>
          <w:rFonts w:hint="eastAsia" w:ascii="仿宋" w:hAnsi="仿宋" w:eastAsia="方正仿宋简体" w:cs="仿宋_GB2312"/>
          <w:sz w:val="32"/>
          <w:szCs w:val="32"/>
          <w:lang w:eastAsia="zh-Hans"/>
        </w:rPr>
        <w:t>指</w:t>
      </w:r>
      <w:r>
        <w:rPr>
          <w:rFonts w:hint="eastAsia" w:ascii="仿宋" w:hAnsi="仿宋" w:eastAsia="方正仿宋简体" w:cs="仿宋_GB2312"/>
          <w:sz w:val="32"/>
          <w:szCs w:val="32"/>
        </w:rPr>
        <w:t>标、诚信承诺、结题科技报告</w:t>
      </w:r>
      <w:r>
        <w:rPr>
          <w:rFonts w:hint="eastAsia" w:ascii="仿宋" w:hAnsi="仿宋" w:eastAsia="方正仿宋简体" w:cs="仿宋_GB2312"/>
          <w:sz w:val="32"/>
          <w:szCs w:val="32"/>
          <w:lang w:eastAsia="zh-Hans"/>
        </w:rPr>
        <w:t>等内容</w:t>
      </w:r>
      <w:r>
        <w:rPr>
          <w:rFonts w:hint="eastAsia" w:ascii="仿宋" w:hAnsi="仿宋" w:eastAsia="方正仿宋简体" w:cs="仿宋_GB2312"/>
          <w:sz w:val="32"/>
          <w:szCs w:val="32"/>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（五）相关行业政策、行业标准及专业技术规范；</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w:t>
      </w:r>
      <w:r>
        <w:rPr>
          <w:rFonts w:hint="eastAsia" w:ascii="仿宋" w:hAnsi="仿宋" w:eastAsia="方正仿宋简体" w:cs="仿宋_GB2312"/>
          <w:sz w:val="32"/>
          <w:szCs w:val="32"/>
          <w:lang w:eastAsia="zh-Hans"/>
        </w:rPr>
        <w:t>六</w:t>
      </w:r>
      <w:r>
        <w:rPr>
          <w:rFonts w:hint="eastAsia" w:ascii="仿宋" w:hAnsi="仿宋" w:eastAsia="方正仿宋简体" w:cs="仿宋_GB2312"/>
          <w:sz w:val="32"/>
          <w:szCs w:val="32"/>
        </w:rPr>
        <w:t>）</w:t>
      </w:r>
      <w:r>
        <w:rPr>
          <w:rFonts w:hint="eastAsia" w:ascii="仿宋" w:hAnsi="仿宋" w:eastAsia="方正仿宋简体" w:cs="仿宋_GB2312"/>
          <w:sz w:val="32"/>
          <w:szCs w:val="32"/>
          <w:lang w:eastAsia="zh-Hans"/>
        </w:rPr>
        <w:t>绩效评价</w:t>
      </w:r>
      <w:r>
        <w:rPr>
          <w:rFonts w:hint="eastAsia" w:ascii="仿宋" w:hAnsi="仿宋" w:eastAsia="方正仿宋简体" w:cs="仿宋_GB2312"/>
          <w:sz w:val="32"/>
          <w:szCs w:val="32"/>
        </w:rPr>
        <w:t>其他相关资料。</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r>
        <w:rPr>
          <w:rFonts w:hint="eastAsia" w:ascii="黑体" w:hAnsi="黑体" w:eastAsia="黑体"/>
          <w:sz w:val="32"/>
          <w:szCs w:val="32"/>
        </w:rPr>
        <w:t>第二章  责任主体和职责</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w:t>
      </w:r>
      <w:r>
        <w:rPr>
          <w:rFonts w:hint="eastAsia" w:ascii="方正楷体简体" w:hAnsi="方正楷体简体" w:eastAsia="方正楷体简体" w:cs="方正楷体简体"/>
          <w:b/>
          <w:sz w:val="32"/>
          <w:szCs w:val="32"/>
          <w:lang w:eastAsia="zh-Hans"/>
        </w:rPr>
        <w:t>六</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b/>
          <w:sz w:val="32"/>
          <w:szCs w:val="32"/>
        </w:rPr>
        <w:t xml:space="preserve"> </w:t>
      </w:r>
      <w:r>
        <w:rPr>
          <w:rFonts w:hint="eastAsia" w:ascii="仿宋" w:hAnsi="仿宋" w:eastAsia="方正仿宋简体" w:cs="仿宋_GB2312"/>
          <w:sz w:val="32"/>
          <w:szCs w:val="32"/>
        </w:rPr>
        <w:t>省科技厅作为科技计划绩效评价组织工作的责任主体。其主要职责包括：制定绩效评价计划方案，设计绩效评价指标体系，负责绩效评价工作的统筹协调，组织第三方评价机构实施绩效评价，并进行指导、监督，审核、确定绩效评价报告，推进绩效评价结果应用。按政府</w:t>
      </w:r>
      <w:r>
        <w:rPr>
          <w:rFonts w:hint="eastAsia" w:ascii="仿宋" w:hAnsi="仿宋" w:eastAsia="方正仿宋简体" w:cs="仿宋_GB2312"/>
          <w:sz w:val="32"/>
          <w:szCs w:val="32"/>
          <w:lang w:eastAsia="zh-Hans"/>
        </w:rPr>
        <w:t>购买服务相关</w:t>
      </w:r>
      <w:r>
        <w:rPr>
          <w:rFonts w:hint="eastAsia" w:ascii="仿宋" w:hAnsi="仿宋" w:eastAsia="方正仿宋简体" w:cs="仿宋_GB2312"/>
          <w:sz w:val="32"/>
          <w:szCs w:val="32"/>
        </w:rPr>
        <w:t>规定择优采购第三方评价机构承担绩效评价工作。其中，各计划下达处室主要职责包括：</w:t>
      </w:r>
      <w:r>
        <w:rPr>
          <w:rFonts w:hint="eastAsia" w:ascii="仿宋" w:hAnsi="仿宋" w:eastAsia="方正仿宋简体" w:cs="仿宋_GB2312"/>
          <w:sz w:val="32"/>
          <w:szCs w:val="32"/>
          <w:lang w:eastAsia="zh-Hans"/>
        </w:rPr>
        <w:t>负责会同推荐单位</w:t>
      </w:r>
      <w:r>
        <w:rPr>
          <w:rFonts w:hint="eastAsia" w:ascii="仿宋" w:hAnsi="仿宋" w:eastAsia="方正仿宋简体" w:cs="仿宋_GB2312"/>
          <w:sz w:val="32"/>
          <w:szCs w:val="32"/>
        </w:rPr>
        <w:t>督</w:t>
      </w:r>
      <w:r>
        <w:rPr>
          <w:rFonts w:hint="eastAsia" w:ascii="仿宋" w:hAnsi="仿宋" w:eastAsia="方正仿宋简体" w:cs="仿宋_GB2312"/>
          <w:sz w:val="32"/>
          <w:szCs w:val="32"/>
          <w:lang w:eastAsia="zh-Hans"/>
        </w:rPr>
        <w:t>导</w:t>
      </w:r>
      <w:r>
        <w:rPr>
          <w:rFonts w:hint="eastAsia" w:ascii="仿宋" w:hAnsi="仿宋" w:eastAsia="方正仿宋简体" w:cs="仿宋_GB2312"/>
          <w:sz w:val="32"/>
          <w:szCs w:val="32"/>
        </w:rPr>
        <w:t>项目承担单位依法合规、按时保质完成工作和提交绩效评价有关材料，加强项目过程监督，及时掌握项目任务进展情况，加强绩效评价结果应用等。</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方正仿宋简体" w:cs="仿宋_GB2312"/>
          <w:bCs/>
          <w:sz w:val="32"/>
          <w:szCs w:val="32"/>
        </w:rPr>
      </w:pPr>
      <w:r>
        <w:rPr>
          <w:rFonts w:hint="eastAsia" w:ascii="仿宋" w:hAnsi="仿宋" w:eastAsia="方正仿宋简体" w:cs="仿宋_GB2312"/>
          <w:bCs/>
          <w:sz w:val="32"/>
          <w:szCs w:val="32"/>
        </w:rPr>
        <w:t>各市科技局、高校院所作为推荐单位，其主要职责包括：对科技计划项目的绩效开展日常监控等评价活动，</w:t>
      </w:r>
      <w:r>
        <w:rPr>
          <w:rFonts w:hint="eastAsia" w:ascii="仿宋" w:hAnsi="仿宋" w:eastAsia="方正仿宋简体" w:cs="仿宋_GB2312"/>
          <w:bCs/>
          <w:sz w:val="32"/>
          <w:szCs w:val="32"/>
          <w:lang w:eastAsia="zh-Hans"/>
        </w:rPr>
        <w:t>除按省科技厅绩效评价工作安排外，应</w:t>
      </w:r>
      <w:r>
        <w:rPr>
          <w:rFonts w:hint="eastAsia" w:ascii="仿宋" w:hAnsi="仿宋" w:eastAsia="方正仿宋简体" w:cs="仿宋_GB2312"/>
          <w:bCs/>
          <w:sz w:val="32"/>
          <w:szCs w:val="32"/>
        </w:rPr>
        <w:t>定期对项目执行情况进行收集、审核、分析等；分析偏离绩效目标的原因，并及时指导项目承担单位采取纠偏措施。</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项目承担单位作为科技计划项目的实施主体，应根据省科技厅工作要求，按照管理职责接受和配合开展绩效评价工作，提供相关材料和信息，形成项目绩效自评报告，并按绩效评价结果和意见进行整改。</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_GB2312" w:hAnsi="仿宋_GB2312" w:eastAsia="仿宋_GB2312" w:cs="仿宋_GB2312"/>
          <w:b/>
          <w:sz w:val="32"/>
          <w:szCs w:val="32"/>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r>
        <w:rPr>
          <w:rFonts w:hint="eastAsia" w:ascii="黑体" w:hAnsi="黑体" w:eastAsia="黑体"/>
          <w:sz w:val="32"/>
          <w:szCs w:val="32"/>
        </w:rPr>
        <w:t>第三章  评价指标、内容和方法</w:t>
      </w:r>
    </w:p>
    <w:p>
      <w:pPr>
        <w:pStyle w:val="14"/>
        <w:keepNext w:val="0"/>
        <w:keepLines w:val="0"/>
        <w:pageBreakBefore w:val="0"/>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第七条</w:t>
      </w:r>
      <w:r>
        <w:rPr>
          <w:rFonts w:hint="eastAsia" w:ascii="仿宋" w:hAnsi="仿宋" w:eastAsia="方正仿宋简体" w:cs="仿宋_GB2312"/>
          <w:b/>
          <w:sz w:val="32"/>
          <w:szCs w:val="32"/>
        </w:rPr>
        <w:t xml:space="preserve"> </w:t>
      </w:r>
      <w:r>
        <w:rPr>
          <w:rFonts w:hint="eastAsia" w:ascii="仿宋" w:hAnsi="仿宋" w:eastAsia="方正仿宋简体" w:cs="仿宋_GB2312"/>
          <w:sz w:val="32"/>
          <w:szCs w:val="32"/>
        </w:rPr>
        <w:t>省级科技计划绩效评价按照</w:t>
      </w:r>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科技</w:t>
      </w:r>
      <w:r>
        <w:rPr>
          <w:rFonts w:hint="eastAsia" w:ascii="仿宋" w:hAnsi="仿宋" w:eastAsia="方正仿宋简体" w:cs="仿宋_GB2312"/>
          <w:sz w:val="32"/>
          <w:szCs w:val="32"/>
          <w:lang w:eastAsia="zh-Hans"/>
        </w:rPr>
        <w:t>计划</w:t>
      </w:r>
      <w:r>
        <w:rPr>
          <w:rFonts w:hint="eastAsia" w:ascii="仿宋" w:hAnsi="仿宋" w:eastAsia="方正仿宋简体" w:cs="仿宋_GB2312"/>
          <w:sz w:val="32"/>
          <w:szCs w:val="32"/>
        </w:rPr>
        <w:t>项目</w:t>
      </w:r>
      <w:r>
        <w:rPr>
          <w:rFonts w:hint="eastAsia" w:ascii="仿宋" w:hAnsi="仿宋" w:eastAsia="方正仿宋简体" w:cs="仿宋_GB2312"/>
          <w:sz w:val="32"/>
          <w:szCs w:val="32"/>
          <w:lang w:eastAsia="zh-Hans"/>
        </w:rPr>
        <w:t>和</w:t>
      </w:r>
      <w:r>
        <w:rPr>
          <w:rFonts w:hint="eastAsia" w:ascii="仿宋" w:hAnsi="仿宋" w:eastAsia="方正仿宋简体" w:cs="仿宋_GB2312"/>
          <w:sz w:val="32"/>
          <w:szCs w:val="32"/>
        </w:rPr>
        <w:t>科技计划整体</w:t>
      </w:r>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设置</w:t>
      </w:r>
      <w:r>
        <w:rPr>
          <w:rFonts w:hint="eastAsia" w:ascii="仿宋" w:hAnsi="仿宋" w:eastAsia="方正仿宋简体" w:cs="仿宋_GB2312"/>
          <w:sz w:val="32"/>
          <w:szCs w:val="32"/>
          <w:lang w:eastAsia="zh-Hans"/>
        </w:rPr>
        <w:t>两</w:t>
      </w:r>
      <w:r>
        <w:rPr>
          <w:rFonts w:hint="eastAsia" w:ascii="仿宋" w:hAnsi="仿宋" w:eastAsia="方正仿宋简体" w:cs="仿宋_GB2312"/>
          <w:sz w:val="32"/>
          <w:szCs w:val="32"/>
        </w:rPr>
        <w:t>套指标体系，指标设置应当体现以下特点：</w:t>
      </w:r>
      <w:r>
        <w:rPr>
          <w:rFonts w:hint="eastAsia" w:ascii="仿宋" w:hAnsi="仿宋" w:eastAsia="方正仿宋简体" w:cs="仿宋_GB2312"/>
          <w:sz w:val="32"/>
          <w:szCs w:val="32"/>
          <w:lang w:eastAsia="zh-Hans"/>
        </w:rPr>
        <w:t>一是</w:t>
      </w:r>
      <w:r>
        <w:rPr>
          <w:rFonts w:hint="eastAsia" w:ascii="仿宋" w:hAnsi="仿宋" w:eastAsia="方正仿宋简体" w:cs="仿宋_GB2312"/>
          <w:sz w:val="32"/>
          <w:szCs w:val="32"/>
        </w:rPr>
        <w:t>导向性，应紧跟科技评价改革要求，体现科技创新“四个面向”，反映科技创新支撑高质量发展的实质作用；</w:t>
      </w:r>
      <w:r>
        <w:rPr>
          <w:rFonts w:hint="eastAsia" w:ascii="仿宋" w:hAnsi="仿宋" w:eastAsia="方正仿宋简体" w:cs="仿宋_GB2312"/>
          <w:sz w:val="32"/>
          <w:szCs w:val="32"/>
          <w:lang w:eastAsia="zh-Hans"/>
        </w:rPr>
        <w:t>二是</w:t>
      </w:r>
      <w:r>
        <w:rPr>
          <w:rFonts w:hint="eastAsia" w:ascii="仿宋" w:hAnsi="仿宋" w:eastAsia="方正仿宋简体" w:cs="仿宋_GB2312"/>
          <w:sz w:val="32"/>
          <w:szCs w:val="32"/>
        </w:rPr>
        <w:t>系统性，全面覆盖省级科技计划资金，逐层分解科技规划、政策任务的目标，实现项目成果产出、目标达成、整体创新效能提升的有机统一；</w:t>
      </w:r>
      <w:r>
        <w:rPr>
          <w:rFonts w:hint="eastAsia" w:ascii="仿宋" w:hAnsi="仿宋" w:eastAsia="方正仿宋简体" w:cs="仿宋_GB2312"/>
          <w:sz w:val="32"/>
          <w:szCs w:val="32"/>
          <w:lang w:eastAsia="zh-Hans"/>
        </w:rPr>
        <w:t>三是</w:t>
      </w:r>
      <w:r>
        <w:rPr>
          <w:rFonts w:hint="eastAsia" w:ascii="仿宋" w:hAnsi="仿宋" w:eastAsia="方正仿宋简体" w:cs="仿宋_GB2312"/>
          <w:sz w:val="32"/>
          <w:szCs w:val="32"/>
        </w:rPr>
        <w:t>融合性，指标体系符合财政部门项目支出绩效评价指标的共性要求，包括“决策”“过程”“产出”“效益”四个方面。</w:t>
      </w:r>
    </w:p>
    <w:p>
      <w:pPr>
        <w:pStyle w:val="14"/>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b/>
          <w:sz w:val="32"/>
          <w:szCs w:val="32"/>
        </w:rPr>
      </w:pPr>
      <w:r>
        <w:rPr>
          <w:rFonts w:hint="eastAsia" w:ascii="仿宋" w:hAnsi="仿宋" w:eastAsia="方正仿宋简体" w:cs="仿宋_GB2312"/>
          <w:sz w:val="32"/>
          <w:szCs w:val="32"/>
        </w:rPr>
        <w:t>指标体系构建参照</w:t>
      </w:r>
      <w:r>
        <w:rPr>
          <w:rFonts w:ascii="仿宋" w:hAnsi="仿宋" w:eastAsia="方正仿宋简体"/>
          <w:sz w:val="32"/>
          <w:szCs w:val="32"/>
          <w:shd w:val="clear" w:color="auto" w:fill="FFFFFF"/>
        </w:rPr>
        <w:t>《项目支出绩效评价管理办法》</w:t>
      </w:r>
      <w:r>
        <w:rPr>
          <w:rFonts w:hint="eastAsia" w:ascii="仿宋" w:hAnsi="仿宋" w:eastAsia="方正仿宋简体"/>
          <w:sz w:val="32"/>
          <w:szCs w:val="32"/>
          <w:shd w:val="clear" w:color="auto" w:fill="FFFFFF"/>
        </w:rPr>
        <w:t>（财预</w:t>
      </w:r>
      <w:r>
        <w:rPr>
          <w:rFonts w:hint="eastAsia" w:ascii="Times New Roman" w:hAnsi="Times New Roman" w:eastAsia="方正仿宋简体" w:cs="Times New Roman"/>
          <w:sz w:val="32"/>
          <w:szCs w:val="32"/>
        </w:rPr>
        <w:t>〔2020〕10</w:t>
      </w:r>
      <w:r>
        <w:rPr>
          <w:rFonts w:hint="eastAsia" w:ascii="仿宋" w:hAnsi="仿宋" w:eastAsia="方正仿宋简体"/>
          <w:sz w:val="32"/>
          <w:szCs w:val="32"/>
          <w:shd w:val="clear" w:color="auto" w:fill="FFFFFF"/>
        </w:rPr>
        <w:t xml:space="preserve"> 号）和《关于印发辽宁省预算绩效指标模板库（</w:t>
      </w:r>
      <w:r>
        <w:rPr>
          <w:rFonts w:hint="eastAsia" w:ascii="Times New Roman" w:hAnsi="Times New Roman" w:eastAsia="方正仿宋简体" w:cs="Times New Roman"/>
          <w:sz w:val="32"/>
          <w:szCs w:val="32"/>
        </w:rPr>
        <w:t>2021</w:t>
      </w:r>
      <w:r>
        <w:rPr>
          <w:rFonts w:hint="eastAsia" w:ascii="仿宋" w:hAnsi="仿宋" w:eastAsia="方正仿宋简体"/>
          <w:sz w:val="32"/>
          <w:szCs w:val="32"/>
          <w:shd w:val="clear" w:color="auto" w:fill="FFFFFF"/>
        </w:rPr>
        <w:t>年版）的通知》</w:t>
      </w:r>
      <w:r>
        <w:rPr>
          <w:rFonts w:ascii="仿宋" w:hAnsi="仿宋" w:eastAsia="方正仿宋简体"/>
          <w:sz w:val="32"/>
          <w:szCs w:val="32"/>
          <w:shd w:val="clear" w:color="auto" w:fill="FFFFFF"/>
        </w:rPr>
        <w:t>（</w:t>
      </w:r>
      <w:r>
        <w:rPr>
          <w:rFonts w:hint="eastAsia" w:ascii="仿宋" w:hAnsi="仿宋" w:eastAsia="方正仿宋简体"/>
          <w:sz w:val="32"/>
          <w:szCs w:val="32"/>
          <w:shd w:val="clear" w:color="auto" w:fill="FFFFFF"/>
        </w:rPr>
        <w:t>辽财绩</w:t>
      </w:r>
      <w:r>
        <w:rPr>
          <w:rFonts w:hint="eastAsia" w:ascii="Times New Roman" w:hAnsi="Times New Roman" w:eastAsia="方正仿宋简体" w:cs="Times New Roman"/>
          <w:sz w:val="32"/>
          <w:szCs w:val="32"/>
        </w:rPr>
        <w:t>〔2021〕197</w:t>
      </w:r>
      <w:r>
        <w:rPr>
          <w:rFonts w:hint="eastAsia" w:ascii="仿宋" w:hAnsi="仿宋" w:eastAsia="方正仿宋简体"/>
          <w:sz w:val="32"/>
          <w:szCs w:val="32"/>
          <w:shd w:val="clear" w:color="auto" w:fill="FFFFFF"/>
        </w:rPr>
        <w:t>号</w:t>
      </w:r>
      <w:r>
        <w:rPr>
          <w:rFonts w:ascii="仿宋" w:hAnsi="仿宋" w:eastAsia="方正仿宋简体"/>
          <w:sz w:val="32"/>
          <w:szCs w:val="32"/>
          <w:shd w:val="clear" w:color="auto" w:fill="FFFFFF"/>
        </w:rPr>
        <w:t>）</w:t>
      </w:r>
      <w:r>
        <w:rPr>
          <w:rFonts w:hint="eastAsia" w:ascii="仿宋" w:hAnsi="仿宋" w:eastAsia="方正仿宋简体"/>
          <w:sz w:val="32"/>
          <w:szCs w:val="32"/>
          <w:shd w:val="clear" w:color="auto" w:fill="FFFFFF"/>
        </w:rPr>
        <w:t>。</w:t>
      </w:r>
      <w:r>
        <w:rPr>
          <w:rFonts w:hint="eastAsia" w:ascii="仿宋" w:hAnsi="仿宋" w:eastAsia="方正仿宋简体" w:cs="仿宋_GB2312"/>
          <w:sz w:val="32"/>
          <w:szCs w:val="32"/>
          <w:lang w:eastAsia="zh-Hans"/>
        </w:rPr>
        <w:t>评价指标包括决策、过程、产出、效果4个一级指标，根据不同科技计划的目标与特点分类设立二级和三级若干指标。一级、二级指标为共性指标，三级指标为个性指标。</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cs="仿宋_GB2312"/>
          <w:bCs/>
          <w:sz w:val="32"/>
          <w:szCs w:val="32"/>
        </w:rPr>
      </w:pPr>
      <w:r>
        <w:rPr>
          <w:rFonts w:hint="eastAsia" w:ascii="方正楷体简体" w:hAnsi="方正楷体简体" w:eastAsia="方正楷体简体" w:cs="方正楷体简体"/>
          <w:b/>
          <w:sz w:val="32"/>
          <w:szCs w:val="32"/>
        </w:rPr>
        <w:t>第八条</w:t>
      </w:r>
      <w:r>
        <w:rPr>
          <w:rFonts w:hint="eastAsia" w:ascii="仿宋" w:hAnsi="仿宋" w:eastAsia="方正仿宋简体" w:cs="仿宋_GB2312"/>
          <w:b/>
          <w:sz w:val="32"/>
          <w:szCs w:val="32"/>
        </w:rPr>
        <w:t xml:space="preserve"> </w:t>
      </w:r>
      <w:r>
        <w:rPr>
          <w:rFonts w:hint="eastAsia" w:ascii="仿宋" w:hAnsi="仿宋" w:eastAsia="方正仿宋简体" w:cs="仿宋_GB2312"/>
          <w:bCs/>
          <w:sz w:val="32"/>
          <w:szCs w:val="32"/>
        </w:rPr>
        <w:t>科技计划项目绩效评价旨在引导和识别高质量成果，聚焦核心技术研发任务、人才培养等实现情况，根据项目类型和执行阶段</w:t>
      </w:r>
      <w:r>
        <w:rPr>
          <w:rFonts w:hint="eastAsia" w:ascii="仿宋" w:hAnsi="仿宋" w:eastAsia="方正仿宋简体" w:cs="仿宋_GB2312"/>
          <w:bCs/>
          <w:sz w:val="32"/>
          <w:szCs w:val="32"/>
          <w:lang w:eastAsia="zh-Hans"/>
        </w:rPr>
        <w:t>实施</w:t>
      </w:r>
      <w:r>
        <w:rPr>
          <w:rFonts w:hint="eastAsia" w:ascii="仿宋" w:hAnsi="仿宋" w:eastAsia="方正仿宋简体" w:cs="仿宋_GB2312"/>
          <w:bCs/>
          <w:sz w:val="32"/>
          <w:szCs w:val="32"/>
        </w:rPr>
        <w:t>评价。主要包括以下内容：</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b w:val="0"/>
          <w:bCs/>
          <w:sz w:val="32"/>
          <w:szCs w:val="32"/>
          <w:lang w:val="en"/>
        </w:rPr>
      </w:pPr>
      <w:r>
        <w:rPr>
          <w:rFonts w:hint="eastAsia" w:ascii="仿宋" w:hAnsi="仿宋" w:eastAsia="方正仿宋简体" w:cs="仿宋_GB2312"/>
          <w:b w:val="0"/>
          <w:bCs/>
          <w:sz w:val="32"/>
          <w:szCs w:val="32"/>
          <w:lang w:val="en-US" w:eastAsia="zh-CN"/>
        </w:rPr>
        <w:t>（一）</w:t>
      </w:r>
      <w:r>
        <w:rPr>
          <w:rFonts w:hint="eastAsia" w:ascii="仿宋" w:hAnsi="仿宋" w:eastAsia="方正仿宋简体" w:cs="仿宋_GB2312"/>
          <w:b w:val="0"/>
          <w:bCs/>
          <w:sz w:val="32"/>
          <w:szCs w:val="32"/>
        </w:rPr>
        <w:t>科技计划项目关键节点评价</w:t>
      </w:r>
      <w:r>
        <w:rPr>
          <w:rFonts w:hint="eastAsia" w:ascii="仿宋" w:hAnsi="仿宋" w:eastAsia="方正仿宋简体" w:cs="仿宋_GB2312"/>
          <w:b w:val="0"/>
          <w:bCs/>
          <w:sz w:val="32"/>
          <w:szCs w:val="32"/>
          <w:lang w:val="en-US" w:eastAsia="zh-CN"/>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lang w:eastAsia="zh-Hans"/>
        </w:rPr>
      </w:pPr>
      <w:r>
        <w:rPr>
          <w:rFonts w:hint="eastAsia" w:ascii="仿宋" w:hAnsi="仿宋" w:eastAsia="方正仿宋简体" w:cs="仿宋_GB2312"/>
          <w:sz w:val="32"/>
          <w:szCs w:val="32"/>
        </w:rPr>
        <w:t>前期决策阶段。对拟立项项目</w:t>
      </w:r>
      <w:r>
        <w:rPr>
          <w:rFonts w:hint="eastAsia" w:ascii="仿宋" w:hAnsi="仿宋" w:eastAsia="方正仿宋简体" w:cs="仿宋_GB2312"/>
          <w:sz w:val="32"/>
          <w:szCs w:val="32"/>
          <w:lang w:eastAsia="zh-Hans"/>
        </w:rPr>
        <w:t>的</w:t>
      </w:r>
      <w:r>
        <w:rPr>
          <w:rFonts w:hint="eastAsia" w:ascii="仿宋" w:hAnsi="仿宋" w:eastAsia="方正仿宋简体" w:cs="仿宋_GB2312"/>
          <w:sz w:val="32"/>
          <w:szCs w:val="32"/>
        </w:rPr>
        <w:t>立项必要性、投入经济性、绩效目标合理性、方案可行性、责任主体诚信情况</w:t>
      </w:r>
      <w:r>
        <w:rPr>
          <w:rFonts w:hint="eastAsia" w:ascii="仿宋" w:hAnsi="仿宋" w:eastAsia="方正仿宋简体" w:cs="仿宋_GB2312"/>
          <w:sz w:val="32"/>
          <w:szCs w:val="32"/>
          <w:lang w:eastAsia="zh-Hans"/>
        </w:rPr>
        <w:t>、预算情况</w:t>
      </w:r>
      <w:r>
        <w:rPr>
          <w:rFonts w:hint="eastAsia" w:ascii="仿宋" w:hAnsi="仿宋" w:eastAsia="方正仿宋简体" w:cs="仿宋_GB2312"/>
          <w:sz w:val="32"/>
          <w:szCs w:val="32"/>
        </w:rPr>
        <w:t>等进行事前综合绩效评价</w:t>
      </w:r>
      <w:r>
        <w:rPr>
          <w:rFonts w:hint="eastAsia" w:ascii="仿宋" w:hAnsi="仿宋" w:eastAsia="方正仿宋简体" w:cs="仿宋_GB2312"/>
          <w:sz w:val="32"/>
          <w:szCs w:val="32"/>
          <w:lang w:eastAsia="zh-Hans"/>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中期评价阶段。对科技计划内已立项项目开展跟踪管理，对预算执行情况和项目实施情况进行“双监控”。依托“辽宁省科技创新综合信息平台”开展绩效监控，对正在实施的科技项目开展“飞行检查”，突出项目与经费过程管理的规范性，对阶段性的项目执行、资金到位、经费使用与管理、成果产出效益，以及可持续发展等情况实行综合评价。</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bCs/>
          <w:sz w:val="32"/>
          <w:szCs w:val="32"/>
        </w:rPr>
      </w:pPr>
      <w:r>
        <w:rPr>
          <w:rFonts w:hint="eastAsia" w:ascii="仿宋" w:hAnsi="仿宋" w:eastAsia="方正仿宋简体" w:cs="仿宋_GB2312"/>
          <w:sz w:val="32"/>
          <w:szCs w:val="32"/>
          <w:lang w:eastAsia="zh-Hans"/>
        </w:rPr>
        <w:t>结题验收</w:t>
      </w:r>
      <w:r>
        <w:rPr>
          <w:rFonts w:hint="eastAsia" w:ascii="仿宋" w:hAnsi="仿宋" w:eastAsia="方正仿宋简体" w:cs="仿宋_GB2312"/>
          <w:sz w:val="32"/>
          <w:szCs w:val="32"/>
        </w:rPr>
        <w:t>阶段。</w:t>
      </w:r>
      <w:r>
        <w:rPr>
          <w:rFonts w:hint="eastAsia" w:ascii="仿宋" w:hAnsi="仿宋" w:eastAsia="方正仿宋简体" w:cs="仿宋_GB2312"/>
          <w:sz w:val="32"/>
          <w:szCs w:val="32"/>
          <w:lang w:eastAsia="zh-Hans"/>
        </w:rPr>
        <w:t>已进入验收阶段的项目进行一次性综合绩效评价</w:t>
      </w:r>
      <w:r>
        <w:rPr>
          <w:rFonts w:hint="eastAsia" w:ascii="仿宋" w:hAnsi="仿宋" w:eastAsia="方正仿宋简体" w:cs="仿宋_GB2312"/>
          <w:sz w:val="32"/>
          <w:szCs w:val="32"/>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b/>
          <w:sz w:val="32"/>
          <w:szCs w:val="32"/>
        </w:rPr>
      </w:pPr>
      <w:r>
        <w:rPr>
          <w:rFonts w:hint="eastAsia" w:ascii="仿宋" w:hAnsi="仿宋" w:eastAsia="方正仿宋简体" w:cs="仿宋_GB2312"/>
          <w:b w:val="0"/>
          <w:bCs/>
          <w:sz w:val="32"/>
          <w:szCs w:val="32"/>
          <w:lang w:val="en-US" w:eastAsia="zh-CN"/>
        </w:rPr>
        <w:t>（二）</w:t>
      </w:r>
      <w:r>
        <w:rPr>
          <w:rFonts w:hint="eastAsia" w:ascii="仿宋" w:hAnsi="仿宋" w:eastAsia="方正仿宋简体" w:cs="仿宋_GB2312"/>
          <w:b w:val="0"/>
          <w:bCs/>
          <w:sz w:val="32"/>
          <w:szCs w:val="32"/>
        </w:rPr>
        <w:t>科技计划项目后评价</w:t>
      </w:r>
      <w:r>
        <w:rPr>
          <w:rFonts w:hint="eastAsia" w:ascii="仿宋" w:hAnsi="仿宋" w:eastAsia="方正仿宋简体" w:cs="仿宋_GB2312"/>
          <w:b w:val="0"/>
          <w:bCs/>
          <w:sz w:val="32"/>
          <w:szCs w:val="32"/>
          <w:lang w:val="en-US" w:eastAsia="zh-CN"/>
        </w:rPr>
        <w:t>。</w:t>
      </w:r>
      <w:r>
        <w:rPr>
          <w:rFonts w:hint="eastAsia" w:ascii="仿宋" w:hAnsi="仿宋" w:eastAsia="方正仿宋简体" w:cs="仿宋_GB2312"/>
          <w:sz w:val="32"/>
          <w:szCs w:val="32"/>
        </w:rPr>
        <w:t>对项目结题后的成果延伸与社会经济效益、人才引进与培养、成果转移与转化、</w:t>
      </w:r>
      <w:r>
        <w:rPr>
          <w:rFonts w:hint="eastAsia" w:ascii="仿宋" w:hAnsi="仿宋" w:eastAsia="方正仿宋简体" w:cs="仿宋_GB2312"/>
          <w:bCs/>
          <w:sz w:val="32"/>
          <w:szCs w:val="32"/>
        </w:rPr>
        <w:t>结余经费使用情况</w:t>
      </w:r>
      <w:r>
        <w:rPr>
          <w:rFonts w:hint="eastAsia" w:ascii="仿宋" w:hAnsi="仿宋" w:eastAsia="方正仿宋简体" w:cs="仿宋_GB2312"/>
          <w:bCs/>
          <w:sz w:val="32"/>
          <w:szCs w:val="32"/>
          <w:lang w:eastAsia="zh-Hans"/>
        </w:rPr>
        <w:t>、</w:t>
      </w:r>
      <w:r>
        <w:rPr>
          <w:rFonts w:hint="eastAsia" w:ascii="仿宋" w:hAnsi="仿宋" w:eastAsia="方正仿宋简体" w:cs="仿宋_GB2312"/>
          <w:sz w:val="32"/>
          <w:szCs w:val="32"/>
        </w:rPr>
        <w:t>可持续发展能力、仪器共享及成效、政策落实等情况实行分类综合评价。</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w:t>
      </w:r>
      <w:r>
        <w:rPr>
          <w:rFonts w:hint="eastAsia" w:ascii="方正楷体简体" w:hAnsi="方正楷体简体" w:eastAsia="方正楷体简体" w:cs="方正楷体简体"/>
          <w:b/>
          <w:sz w:val="32"/>
          <w:szCs w:val="32"/>
          <w:lang w:eastAsia="zh-Hans"/>
        </w:rPr>
        <w:t>九</w:t>
      </w:r>
      <w:r>
        <w:rPr>
          <w:rFonts w:hint="eastAsia" w:ascii="方正楷体简体" w:hAnsi="方正楷体简体" w:eastAsia="方正楷体简体" w:cs="方正楷体简体"/>
          <w:b/>
          <w:sz w:val="32"/>
          <w:szCs w:val="32"/>
        </w:rPr>
        <w:t>条</w:t>
      </w:r>
      <w:r>
        <w:rPr>
          <w:rFonts w:ascii="仿宋" w:hAnsi="仿宋" w:eastAsia="方正仿宋简体" w:cs="仿宋_GB2312"/>
          <w:b/>
          <w:sz w:val="32"/>
          <w:szCs w:val="32"/>
        </w:rPr>
        <w:t xml:space="preserve"> </w:t>
      </w:r>
      <w:r>
        <w:rPr>
          <w:rFonts w:hint="eastAsia" w:ascii="仿宋" w:hAnsi="仿宋" w:eastAsia="方正仿宋简体" w:cs="仿宋_GB2312"/>
          <w:bCs/>
          <w:sz w:val="32"/>
          <w:szCs w:val="32"/>
        </w:rPr>
        <w:t>科技计划整体绩效评价旨在通过研究分析省级科技计划整体实施情况</w:t>
      </w:r>
      <w:r>
        <w:rPr>
          <w:rFonts w:hint="eastAsia" w:ascii="仿宋" w:hAnsi="仿宋" w:eastAsia="方正仿宋简体" w:cs="仿宋_GB2312"/>
          <w:bCs/>
          <w:sz w:val="32"/>
          <w:szCs w:val="32"/>
          <w:lang w:eastAsia="zh-Hans"/>
        </w:rPr>
        <w:t>，结合</w:t>
      </w:r>
      <w:r>
        <w:rPr>
          <w:rFonts w:hint="eastAsia" w:ascii="仿宋" w:hAnsi="仿宋" w:eastAsia="方正仿宋简体" w:cs="仿宋_GB2312"/>
          <w:sz w:val="32"/>
          <w:szCs w:val="32"/>
        </w:rPr>
        <w:t>各科技计划内涵定位</w:t>
      </w:r>
      <w:r>
        <w:rPr>
          <w:rFonts w:hint="eastAsia" w:ascii="仿宋" w:hAnsi="仿宋" w:eastAsia="方正仿宋简体" w:cs="仿宋_GB2312"/>
          <w:sz w:val="32"/>
          <w:szCs w:val="32"/>
          <w:lang w:eastAsia="zh-Hans"/>
        </w:rPr>
        <w:t>，在</w:t>
      </w:r>
      <w:r>
        <w:rPr>
          <w:rFonts w:hint="eastAsia" w:ascii="仿宋" w:hAnsi="仿宋" w:eastAsia="方正仿宋简体" w:cs="仿宋_GB2312"/>
          <w:sz w:val="32"/>
          <w:szCs w:val="32"/>
        </w:rPr>
        <w:t>重大政策审议出台、申报指南编制与发布</w:t>
      </w:r>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立项项目等关键环节，</w:t>
      </w:r>
      <w:r>
        <w:rPr>
          <w:rFonts w:hint="eastAsia" w:ascii="仿宋" w:hAnsi="仿宋" w:eastAsia="方正仿宋简体" w:cs="仿宋_GB2312"/>
          <w:bCs/>
          <w:sz w:val="32"/>
          <w:szCs w:val="32"/>
        </w:rPr>
        <w:t>发挥省级科技计划在高质量科技创新方面的引领作用，聚焦国家和省委省政府科技创新发展战略规划和总体目标实现情况，根据省级科技计划体系设置的阶段背景确定评价内容。</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bCs/>
          <w:sz w:val="32"/>
          <w:szCs w:val="32"/>
        </w:rPr>
        <w:t>第十条</w:t>
      </w:r>
      <w:r>
        <w:rPr>
          <w:rFonts w:hint="eastAsia" w:ascii="仿宋" w:hAnsi="仿宋" w:eastAsia="方正仿宋简体" w:cs="仿宋_GB2312"/>
          <w:sz w:val="32"/>
          <w:szCs w:val="32"/>
        </w:rPr>
        <w:t xml:space="preserve"> 根据科技计划类别、实施周期和项目管理实际情况，采取随机抽查和重点抽查相结合的方式，合理确定绩效评价样本项目抽查频次和比例。其中，前期决策阶段，样本抽取比例一般根据实际需要确定；中期评价阶段，样本</w:t>
      </w:r>
      <w:r>
        <w:rPr>
          <w:rFonts w:hint="eastAsia" w:ascii="仿宋" w:hAnsi="仿宋" w:eastAsia="方正仿宋简体" w:cs="仿宋"/>
          <w:sz w:val="32"/>
          <w:szCs w:val="32"/>
          <w:lang w:eastAsia="zh-Hans"/>
        </w:rPr>
        <w:t>按照当年立项项目总数（除“包干制”项目、后补助外）不低于</w:t>
      </w:r>
      <w:r>
        <w:rPr>
          <w:rFonts w:hint="eastAsia" w:ascii="Times New Roman" w:hAnsi="Times New Roman" w:eastAsia="方正仿宋简体" w:cs="Times New Roman"/>
          <w:sz w:val="32"/>
          <w:szCs w:val="32"/>
        </w:rPr>
        <w:t>20%</w:t>
      </w:r>
      <w:r>
        <w:rPr>
          <w:rFonts w:hint="eastAsia" w:ascii="仿宋" w:hAnsi="仿宋" w:eastAsia="方正仿宋简体" w:cs="仿宋"/>
          <w:sz w:val="32"/>
          <w:szCs w:val="32"/>
          <w:lang w:eastAsia="zh-Hans"/>
        </w:rPr>
        <w:t>的比例开展“飞行检查”；“包干制”和后补助项目根据实际需要确定</w:t>
      </w:r>
      <w:r>
        <w:rPr>
          <w:rFonts w:hint="eastAsia" w:ascii="仿宋" w:hAnsi="仿宋" w:eastAsia="方正仿宋简体" w:cs="仿宋_GB2312"/>
          <w:sz w:val="32"/>
          <w:szCs w:val="32"/>
        </w:rPr>
        <w:t>；后期跟踪阶段，样本抽取比例一般不低于各领域科技计划年均结题项目数的</w:t>
      </w:r>
      <w:r>
        <w:rPr>
          <w:rFonts w:hint="eastAsia" w:ascii="Times New Roman" w:hAnsi="Times New Roman" w:eastAsia="方正仿宋简体" w:cs="Times New Roman"/>
          <w:sz w:val="32"/>
          <w:szCs w:val="32"/>
        </w:rPr>
        <w:t>5%</w:t>
      </w:r>
      <w:r>
        <w:rPr>
          <w:rFonts w:hint="eastAsia" w:ascii="仿宋" w:hAnsi="仿宋" w:eastAsia="方正仿宋简体" w:cs="仿宋_GB2312"/>
          <w:sz w:val="32"/>
          <w:szCs w:val="32"/>
        </w:rPr>
        <w:t>。</w:t>
      </w:r>
    </w:p>
    <w:p>
      <w:pPr>
        <w:pStyle w:val="14"/>
        <w:keepNext w:val="0"/>
        <w:keepLines w:val="0"/>
        <w:pageBreakBefore w:val="0"/>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Hans"/>
        </w:rPr>
        <w:t>一</w:t>
      </w:r>
      <w:r>
        <w:rPr>
          <w:rFonts w:hint="eastAsia" w:ascii="方正楷体简体" w:hAnsi="方正楷体简体" w:eastAsia="方正楷体简体" w:cs="方正楷体简体"/>
          <w:b/>
          <w:bCs/>
          <w:sz w:val="32"/>
          <w:szCs w:val="32"/>
        </w:rPr>
        <w:t>条</w:t>
      </w:r>
      <w:r>
        <w:rPr>
          <w:rFonts w:hint="eastAsia" w:ascii="仿宋" w:hAnsi="仿宋" w:eastAsia="方正仿宋简体" w:cs="仿宋_GB2312"/>
          <w:sz w:val="32"/>
          <w:szCs w:val="32"/>
        </w:rPr>
        <w:t xml:space="preserve"> 绩效评价以抽取样本项目评价方法为主，根据评价对象特点和绩效评价需求，可采用政策分析、目标比较、现场考察、数据分析、问卷调查、座谈调研、专家咨询、同行评议、案例研究、成本效益分析等方法，注重听取有关部门、产业界、关联单位、服务对象等意见建议，综合考虑政策引导方向、行业领域、项目层次、责任主体性质、资助方式与强度、社会关注度等要素进行综合评价。</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b/>
          <w:sz w:val="32"/>
          <w:szCs w:val="32"/>
        </w:rPr>
      </w:pPr>
      <w:r>
        <w:rPr>
          <w:rFonts w:hint="eastAsia" w:ascii="仿宋" w:hAnsi="仿宋" w:eastAsia="方正仿宋简体" w:cs="仿宋_GB2312"/>
          <w:sz w:val="32"/>
          <w:szCs w:val="32"/>
        </w:rPr>
        <w:t>样本项目评价采取定量分析和定性分析相结合的方式，遵循定量优先、简便有效的原则，可灵活运用成本效益分析法、比较法、因素分析法、公众评判法、标杆管理法等评估评价方法，提高绩效评价结果的客观性和准确性。</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ascii="黑体" w:hAnsi="黑体" w:eastAsia="黑体"/>
          <w:sz w:val="32"/>
          <w:szCs w:val="32"/>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r>
        <w:rPr>
          <w:rFonts w:hint="eastAsia" w:ascii="黑体" w:hAnsi="黑体" w:eastAsia="黑体"/>
          <w:sz w:val="32"/>
          <w:szCs w:val="32"/>
        </w:rPr>
        <w:t>第四章 组织实施</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cs="仿宋_GB2312"/>
          <w:sz w:val="32"/>
          <w:szCs w:val="32"/>
        </w:rPr>
      </w:pPr>
      <w:r>
        <w:rPr>
          <w:rFonts w:hint="eastAsia" w:ascii="方正楷体简体" w:hAnsi="方正楷体简体" w:eastAsia="方正楷体简体" w:cs="方正楷体简体"/>
          <w:b/>
          <w:sz w:val="32"/>
          <w:szCs w:val="32"/>
        </w:rPr>
        <w:t>第十</w:t>
      </w:r>
      <w:r>
        <w:rPr>
          <w:rFonts w:hint="eastAsia" w:ascii="方正楷体简体" w:hAnsi="方正楷体简体" w:eastAsia="方正楷体简体" w:cs="方正楷体简体"/>
          <w:b/>
          <w:sz w:val="32"/>
          <w:szCs w:val="32"/>
          <w:lang w:eastAsia="zh-Hans"/>
        </w:rPr>
        <w:t>二</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b/>
          <w:sz w:val="32"/>
          <w:szCs w:val="32"/>
        </w:rPr>
        <w:t xml:space="preserve"> </w:t>
      </w:r>
      <w:r>
        <w:rPr>
          <w:rFonts w:hint="eastAsia" w:ascii="仿宋" w:hAnsi="仿宋" w:eastAsia="方正仿宋简体" w:cs="仿宋_GB2312"/>
          <w:sz w:val="32"/>
          <w:szCs w:val="32"/>
        </w:rPr>
        <w:t>省科技厅制定年度绩效评价工作方案，重点明确</w:t>
      </w:r>
      <w:r>
        <w:rPr>
          <w:rFonts w:hint="eastAsia" w:ascii="仿宋" w:hAnsi="仿宋" w:eastAsia="方正仿宋简体" w:cs="仿宋_GB2312"/>
          <w:sz w:val="32"/>
          <w:szCs w:val="32"/>
          <w:lang w:eastAsia="zh-Hans"/>
        </w:rPr>
        <w:t>科技计划项目与科技计划整体</w:t>
      </w:r>
      <w:r>
        <w:rPr>
          <w:rFonts w:hint="eastAsia" w:ascii="仿宋" w:hAnsi="仿宋" w:eastAsia="方正仿宋简体" w:cs="仿宋_GB2312"/>
          <w:sz w:val="32"/>
          <w:szCs w:val="32"/>
        </w:rPr>
        <w:t>绩效评价目的和任务、评价对象、组织方式、工作流程、进度要求、经费安排等。加强科技</w:t>
      </w:r>
      <w:r>
        <w:rPr>
          <w:rFonts w:hint="eastAsia" w:ascii="仿宋" w:hAnsi="仿宋" w:eastAsia="方正仿宋简体" w:cs="仿宋_GB2312"/>
          <w:sz w:val="32"/>
          <w:szCs w:val="32"/>
          <w:lang w:eastAsia="zh-Hans"/>
        </w:rPr>
        <w:t>计划</w:t>
      </w:r>
      <w:r>
        <w:rPr>
          <w:rFonts w:hint="eastAsia" w:ascii="仿宋" w:hAnsi="仿宋" w:eastAsia="方正仿宋简体" w:cs="仿宋_GB2312"/>
          <w:sz w:val="32"/>
          <w:szCs w:val="32"/>
        </w:rPr>
        <w:t>项目</w:t>
      </w:r>
      <w:r>
        <w:rPr>
          <w:rFonts w:hint="eastAsia" w:ascii="仿宋" w:hAnsi="仿宋" w:eastAsia="方正仿宋简体" w:cs="仿宋_GB2312"/>
          <w:sz w:val="32"/>
          <w:szCs w:val="32"/>
          <w:lang w:eastAsia="zh-Hans"/>
        </w:rPr>
        <w:t>与</w:t>
      </w:r>
      <w:r>
        <w:rPr>
          <w:rFonts w:hint="eastAsia" w:ascii="仿宋" w:hAnsi="仿宋" w:eastAsia="方正仿宋简体" w:cs="仿宋_GB2312"/>
          <w:sz w:val="32"/>
          <w:szCs w:val="32"/>
        </w:rPr>
        <w:t>科技计划整体绩效评价的有效衔接，统筹绩效评价时间节点，充分利用项目自评材料减少填报表格。根据工作方案，以公开择优或定向委托方式确定第三方机构，并与其签订绩效评价合同（协议、任务书等），明确绩效评价任务目标、内容、成果形式、委托经费、质量控制、保密要求和数据使用等要求。</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第十</w:t>
      </w:r>
      <w:r>
        <w:rPr>
          <w:rFonts w:hint="eastAsia" w:ascii="方正楷体简体" w:hAnsi="方正楷体简体" w:eastAsia="方正楷体简体" w:cs="方正楷体简体"/>
          <w:b/>
          <w:sz w:val="32"/>
          <w:szCs w:val="32"/>
          <w:lang w:eastAsia="zh-Hans"/>
        </w:rPr>
        <w:t>三</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b/>
          <w:sz w:val="32"/>
          <w:szCs w:val="32"/>
        </w:rPr>
        <w:t xml:space="preserve"> </w:t>
      </w:r>
      <w:r>
        <w:rPr>
          <w:rFonts w:hint="eastAsia" w:ascii="仿宋" w:hAnsi="仿宋" w:eastAsia="方正仿宋简体" w:cs="仿宋_GB2312"/>
          <w:sz w:val="32"/>
          <w:szCs w:val="32"/>
        </w:rPr>
        <w:t>绩效评价工作由省科技厅委托第三方机构开展，具体流程如下：</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方正仿宋简体" w:cs="仿宋_GB2312"/>
          <w:sz w:val="32"/>
          <w:szCs w:val="32"/>
        </w:rPr>
      </w:pPr>
      <w:r>
        <w:rPr>
          <w:rFonts w:hint="eastAsia" w:ascii="仿宋" w:hAnsi="仿宋" w:eastAsia="方正仿宋简体" w:cs="仿宋_GB2312"/>
          <w:sz w:val="32"/>
          <w:szCs w:val="32"/>
        </w:rPr>
        <w:t>（一）确定绩效评价工作任务，明确评价目的、对象、范围等。</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（二）遴选第三方机构，开展委托和培训，组建评价咨询专家组。</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方正仿宋简体" w:cs="仿宋_GB2312"/>
          <w:sz w:val="32"/>
          <w:szCs w:val="32"/>
        </w:rPr>
      </w:pPr>
      <w:r>
        <w:rPr>
          <w:rFonts w:hint="eastAsia" w:ascii="仿宋" w:hAnsi="仿宋" w:eastAsia="方正仿宋简体" w:cs="仿宋_GB2312"/>
          <w:sz w:val="32"/>
          <w:szCs w:val="32"/>
        </w:rPr>
        <w:t>（三）制定绩效评价工作方案，确定评价指标等。</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（四）单位自评，按通知要求开展绩效自评，形成自查自评报告，准备相关支撑材料，并在规定时间内按要求完成提交。</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（五）实施第三方评价，形成绩效评价报告，按要求提交省科技厅，同时做好原始资料整理归档备查。</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（六）审核评价报告，确认评价结果。</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方正仿宋简体" w:cs="仿宋_GB2312"/>
          <w:sz w:val="32"/>
          <w:szCs w:val="32"/>
        </w:rPr>
      </w:pPr>
      <w:r>
        <w:rPr>
          <w:rFonts w:hint="eastAsia" w:ascii="仿宋" w:hAnsi="仿宋" w:eastAsia="方正仿宋简体" w:cs="仿宋_GB2312"/>
          <w:sz w:val="32"/>
          <w:szCs w:val="32"/>
        </w:rPr>
        <w:t>（七）推动绩效评价存在问题整改。</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方正仿宋简体" w:cs="仿宋"/>
          <w:sz w:val="32"/>
          <w:szCs w:val="32"/>
          <w:lang w:eastAsia="zh-Hans"/>
        </w:rPr>
      </w:pPr>
      <w:r>
        <w:rPr>
          <w:rFonts w:hint="eastAsia" w:ascii="仿宋" w:hAnsi="仿宋" w:eastAsia="方正仿宋简体" w:cs="仿宋_GB2312"/>
          <w:sz w:val="32"/>
          <w:szCs w:val="32"/>
        </w:rPr>
        <w:t>（八）汇交绩效评价工作档案</w:t>
      </w:r>
      <w:r>
        <w:rPr>
          <w:rFonts w:hint="eastAsia" w:ascii="仿宋" w:hAnsi="仿宋" w:eastAsia="方正仿宋简体" w:cs="仿宋"/>
          <w:sz w:val="32"/>
          <w:szCs w:val="32"/>
          <w:lang w:eastAsia="zh-Hans"/>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cs="仿宋"/>
          <w:sz w:val="32"/>
          <w:szCs w:val="32"/>
        </w:rPr>
      </w:pPr>
      <w:r>
        <w:rPr>
          <w:rFonts w:hint="eastAsia" w:ascii="方正楷体简体" w:hAnsi="方正楷体简体" w:eastAsia="方正楷体简体" w:cs="方正楷体简体"/>
          <w:b/>
          <w:bCs/>
          <w:sz w:val="32"/>
          <w:szCs w:val="32"/>
          <w:lang w:eastAsia="zh-Hans"/>
        </w:rPr>
        <w:t>第</w:t>
      </w:r>
      <w:r>
        <w:rPr>
          <w:rFonts w:hint="eastAsia" w:ascii="方正楷体简体" w:hAnsi="方正楷体简体" w:eastAsia="方正楷体简体" w:cs="方正楷体简体"/>
          <w:b/>
          <w:bCs/>
          <w:sz w:val="32"/>
          <w:szCs w:val="32"/>
        </w:rPr>
        <w:t>十</w:t>
      </w:r>
      <w:r>
        <w:rPr>
          <w:rFonts w:hint="eastAsia" w:ascii="方正楷体简体" w:hAnsi="方正楷体简体" w:eastAsia="方正楷体简体" w:cs="方正楷体简体"/>
          <w:b/>
          <w:bCs/>
          <w:sz w:val="32"/>
          <w:szCs w:val="32"/>
          <w:lang w:eastAsia="zh-Hans"/>
        </w:rPr>
        <w:t>四</w:t>
      </w:r>
      <w:r>
        <w:rPr>
          <w:rFonts w:hint="eastAsia" w:ascii="方正楷体简体" w:hAnsi="方正楷体简体" w:eastAsia="方正楷体简体" w:cs="方正楷体简体"/>
          <w:b/>
          <w:bCs/>
          <w:sz w:val="32"/>
          <w:szCs w:val="32"/>
        </w:rPr>
        <w:t>条</w:t>
      </w:r>
      <w:r>
        <w:rPr>
          <w:rFonts w:hint="eastAsia" w:ascii="仿宋" w:hAnsi="仿宋" w:eastAsia="方正仿宋简体" w:cs="仿宋"/>
          <w:sz w:val="32"/>
          <w:szCs w:val="32"/>
        </w:rPr>
        <w:t xml:space="preserve"> 支持和鼓励第三方机构广泛参与省级科技计划绩效评价，省科技厅加强对第三方评价机构及其工作人员的培训和指导，通过专业培训等方式，培育符合省级科技计划评价资格标准和科技创新治理的第三方机构。</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cs="仿宋"/>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Hans"/>
        </w:rPr>
        <w:t>五</w:t>
      </w:r>
      <w:r>
        <w:rPr>
          <w:rFonts w:hint="eastAsia" w:ascii="方正楷体简体" w:hAnsi="方正楷体简体" w:eastAsia="方正楷体简体" w:cs="方正楷体简体"/>
          <w:b/>
          <w:bCs/>
          <w:sz w:val="32"/>
          <w:szCs w:val="32"/>
        </w:rPr>
        <w:t>条</w:t>
      </w:r>
      <w:r>
        <w:rPr>
          <w:rFonts w:hint="eastAsia" w:ascii="仿宋" w:hAnsi="仿宋" w:eastAsia="方正仿宋简体" w:cs="仿宋"/>
          <w:sz w:val="32"/>
          <w:szCs w:val="32"/>
        </w:rPr>
        <w:t xml:space="preserve"> 省科技厅负责建立省级科技计划绩效评价咨询专家库，入库专家应当为省科技计划项目评审专家，并且熟悉预算绩效管理、科研管理、科技评价，包括技术专家、财务专家以及其他有关专家。</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方正仿宋简体" w:cs="仿宋"/>
          <w:sz w:val="32"/>
          <w:szCs w:val="32"/>
        </w:rPr>
      </w:pPr>
      <w:r>
        <w:rPr>
          <w:rFonts w:hint="eastAsia" w:ascii="仿宋" w:hAnsi="仿宋" w:eastAsia="方正仿宋简体" w:cs="仿宋"/>
          <w:sz w:val="32"/>
          <w:szCs w:val="32"/>
        </w:rPr>
        <w:t>第三方机构应根据任务需要从绩效评价咨询专家库中抽取专家，组建专家组。专家组应当严格遵守诚信要求和回避原则，开展负责任的评价工作。</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
          <w:sz w:val="32"/>
          <w:szCs w:val="32"/>
        </w:rPr>
      </w:pPr>
      <w:r>
        <w:rPr>
          <w:rFonts w:hint="eastAsia" w:ascii="方正楷体简体" w:hAnsi="方正楷体简体" w:eastAsia="方正楷体简体" w:cs="方正楷体简体"/>
          <w:b/>
          <w:bCs/>
          <w:sz w:val="32"/>
          <w:szCs w:val="32"/>
        </w:rPr>
        <w:t>第十</w:t>
      </w:r>
      <w:r>
        <w:rPr>
          <w:rFonts w:hint="eastAsia" w:ascii="方正楷体简体" w:hAnsi="方正楷体简体" w:eastAsia="方正楷体简体" w:cs="方正楷体简体"/>
          <w:b/>
          <w:bCs/>
          <w:sz w:val="32"/>
          <w:szCs w:val="32"/>
          <w:lang w:eastAsia="zh-Hans"/>
        </w:rPr>
        <w:t>六</w:t>
      </w:r>
      <w:r>
        <w:rPr>
          <w:rFonts w:hint="eastAsia" w:ascii="方正楷体简体" w:hAnsi="方正楷体简体" w:eastAsia="方正楷体简体" w:cs="方正楷体简体"/>
          <w:b/>
          <w:bCs/>
          <w:sz w:val="32"/>
          <w:szCs w:val="32"/>
        </w:rPr>
        <w:t>条</w:t>
      </w:r>
      <w:r>
        <w:rPr>
          <w:rFonts w:hint="eastAsia" w:ascii="仿宋" w:hAnsi="仿宋" w:eastAsia="方正仿宋简体" w:cs="仿宋"/>
          <w:sz w:val="32"/>
          <w:szCs w:val="32"/>
        </w:rPr>
        <w:t xml:space="preserve"> 对在省级科技计划绩效评价中发现的问题，省科技厅牵头落实整改，明确责任主体，确保整改到位，防范科技资金重大风险，保障科技计划顺利实施。项目承担单位对绩效评价过程中发现问题整改不到位或未按要求整改的，按有关规定采取终止项目、收回或追回财政资金、影响后续支持等措施。</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_GB2312" w:hAnsi="仿宋_GB2312" w:eastAsia="仿宋_GB2312" w:cs="仿宋_GB2312"/>
          <w:b/>
          <w:sz w:val="32"/>
          <w:szCs w:val="32"/>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r>
        <w:rPr>
          <w:rFonts w:hint="eastAsia" w:ascii="黑体" w:hAnsi="黑体" w:eastAsia="黑体"/>
          <w:sz w:val="32"/>
          <w:szCs w:val="32"/>
        </w:rPr>
        <w:t>第五章  评价结果和应用</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第十</w:t>
      </w:r>
      <w:r>
        <w:rPr>
          <w:rFonts w:hint="eastAsia" w:ascii="方正楷体简体" w:hAnsi="方正楷体简体" w:eastAsia="方正楷体简体" w:cs="方正楷体简体"/>
          <w:b/>
          <w:sz w:val="32"/>
          <w:szCs w:val="32"/>
          <w:lang w:eastAsia="zh-Hans"/>
        </w:rPr>
        <w:t>七</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b/>
          <w:sz w:val="32"/>
          <w:szCs w:val="32"/>
        </w:rPr>
        <w:t xml:space="preserve"> </w:t>
      </w:r>
      <w:bookmarkStart w:id="0" w:name="_Hlk133396757"/>
      <w:r>
        <w:rPr>
          <w:rFonts w:hint="eastAsia" w:ascii="仿宋" w:hAnsi="仿宋" w:eastAsia="方正仿宋简体" w:cs="仿宋_GB2312"/>
          <w:sz w:val="32"/>
          <w:szCs w:val="32"/>
        </w:rPr>
        <w:t>科技计划项目绩效评价实行等级评价制</w:t>
      </w:r>
      <w:bookmarkEnd w:id="0"/>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原则上以科技计划样本项目绩效评价平均分为主要依据，从行业领域、实施地域、责任主体性质等多个维度进行综合分析，对应得出评价等级。采取评分和评级相结合的方式获取评价结果，具体分值和等级可根据不同评价内容设定。</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绩效评价总分一般为</w:t>
      </w:r>
      <w:r>
        <w:rPr>
          <w:rFonts w:hint="eastAsia" w:ascii="Times New Roman" w:hAnsi="Times New Roman" w:eastAsia="方正仿宋简体" w:cs="Times New Roman"/>
          <w:sz w:val="32"/>
          <w:szCs w:val="32"/>
        </w:rPr>
        <w:t>100</w:t>
      </w:r>
      <w:r>
        <w:rPr>
          <w:rFonts w:hint="eastAsia" w:ascii="仿宋" w:hAnsi="仿宋" w:eastAsia="方正仿宋简体" w:cs="仿宋_GB2312"/>
          <w:sz w:val="32"/>
          <w:szCs w:val="32"/>
        </w:rPr>
        <w:t>分，评价结果设置</w:t>
      </w:r>
      <w:r>
        <w:rPr>
          <w:rFonts w:hint="eastAsia" w:ascii="Times New Roman" w:hAnsi="Times New Roman" w:eastAsia="方正仿宋简体" w:cs="Times New Roman"/>
          <w:sz w:val="32"/>
          <w:szCs w:val="32"/>
        </w:rPr>
        <w:t>A、B、C、D</w:t>
      </w:r>
      <w:r>
        <w:rPr>
          <w:rFonts w:hint="eastAsia" w:ascii="仿宋" w:hAnsi="仿宋" w:eastAsia="方正仿宋简体" w:cs="仿宋_GB2312"/>
          <w:sz w:val="32"/>
          <w:szCs w:val="32"/>
        </w:rPr>
        <w:t>四个等级：</w:t>
      </w:r>
      <w:r>
        <w:rPr>
          <w:rFonts w:hint="eastAsia" w:ascii="Times New Roman" w:hAnsi="Times New Roman" w:eastAsia="方正仿宋简体" w:cs="Times New Roman"/>
          <w:sz w:val="32"/>
          <w:szCs w:val="32"/>
        </w:rPr>
        <w:t>A</w:t>
      </w:r>
      <w:r>
        <w:rPr>
          <w:rFonts w:hint="eastAsia" w:ascii="仿宋" w:hAnsi="仿宋" w:eastAsia="方正仿宋简体" w:cs="仿宋_GB2312"/>
          <w:sz w:val="32"/>
          <w:szCs w:val="32"/>
        </w:rPr>
        <w:t>为</w:t>
      </w:r>
      <w:r>
        <w:rPr>
          <w:rFonts w:hint="eastAsia" w:ascii="Times New Roman" w:hAnsi="Times New Roman" w:eastAsia="方正仿宋简体" w:cs="Times New Roman"/>
          <w:sz w:val="32"/>
          <w:szCs w:val="32"/>
        </w:rPr>
        <w:t>100</w:t>
      </w:r>
      <w:r>
        <w:rPr>
          <w:rFonts w:hint="eastAsia" w:ascii="仿宋" w:hAnsi="仿宋" w:eastAsia="方正仿宋简体" w:cs="仿宋_GB2312"/>
          <w:sz w:val="32"/>
          <w:szCs w:val="32"/>
        </w:rPr>
        <w:t>分</w:t>
      </w:r>
      <w:r>
        <w:rPr>
          <w:rFonts w:hint="eastAsia" w:ascii="Times New Roman" w:hAnsi="Times New Roman" w:eastAsia="方正仿宋简体" w:cs="Times New Roman"/>
          <w:sz w:val="32"/>
          <w:szCs w:val="32"/>
        </w:rPr>
        <w:t>-90</w:t>
      </w:r>
      <w:r>
        <w:rPr>
          <w:rFonts w:hint="eastAsia" w:ascii="仿宋" w:hAnsi="仿宋" w:eastAsia="方正仿宋简体" w:cs="仿宋_GB2312"/>
          <w:sz w:val="32"/>
          <w:szCs w:val="32"/>
        </w:rPr>
        <w:t>（含）、</w:t>
      </w:r>
      <w:r>
        <w:rPr>
          <w:rFonts w:hint="eastAsia" w:ascii="Times New Roman" w:hAnsi="Times New Roman" w:eastAsia="方正仿宋简体" w:cs="Times New Roman"/>
          <w:sz w:val="32"/>
          <w:szCs w:val="32"/>
        </w:rPr>
        <w:t>B</w:t>
      </w:r>
      <w:r>
        <w:rPr>
          <w:rFonts w:hint="eastAsia" w:ascii="仿宋" w:hAnsi="仿宋" w:eastAsia="方正仿宋简体" w:cs="仿宋_GB2312"/>
          <w:sz w:val="32"/>
          <w:szCs w:val="32"/>
        </w:rPr>
        <w:t>为</w:t>
      </w:r>
      <w:r>
        <w:rPr>
          <w:rFonts w:hint="eastAsia" w:ascii="Times New Roman" w:hAnsi="Times New Roman" w:eastAsia="方正仿宋简体" w:cs="Times New Roman"/>
          <w:sz w:val="32"/>
          <w:szCs w:val="32"/>
        </w:rPr>
        <w:t>89</w:t>
      </w:r>
      <w:r>
        <w:rPr>
          <w:rFonts w:hint="eastAsia" w:ascii="仿宋" w:hAnsi="仿宋" w:eastAsia="方正仿宋简体" w:cs="仿宋_GB2312"/>
          <w:sz w:val="32"/>
          <w:szCs w:val="32"/>
        </w:rPr>
        <w:t>分</w:t>
      </w:r>
      <w:r>
        <w:rPr>
          <w:rFonts w:hint="eastAsia" w:ascii="Times New Roman" w:hAnsi="Times New Roman" w:eastAsia="方正仿宋简体" w:cs="Times New Roman"/>
          <w:sz w:val="32"/>
          <w:szCs w:val="32"/>
        </w:rPr>
        <w:t>-80</w:t>
      </w:r>
      <w:r>
        <w:rPr>
          <w:rFonts w:hint="eastAsia" w:ascii="仿宋" w:hAnsi="仿宋" w:eastAsia="方正仿宋简体" w:cs="仿宋_GB2312"/>
          <w:sz w:val="32"/>
          <w:szCs w:val="32"/>
        </w:rPr>
        <w:t>（含）、</w:t>
      </w:r>
      <w:r>
        <w:rPr>
          <w:rFonts w:hint="eastAsia" w:ascii="Times New Roman" w:hAnsi="Times New Roman" w:eastAsia="方正仿宋简体" w:cs="Times New Roman"/>
          <w:sz w:val="32"/>
          <w:szCs w:val="32"/>
        </w:rPr>
        <w:t>C</w:t>
      </w:r>
      <w:r>
        <w:rPr>
          <w:rFonts w:hint="eastAsia" w:ascii="仿宋" w:hAnsi="仿宋" w:eastAsia="方正仿宋简体" w:cs="仿宋_GB2312"/>
          <w:sz w:val="32"/>
          <w:szCs w:val="32"/>
        </w:rPr>
        <w:t>为</w:t>
      </w:r>
      <w:r>
        <w:rPr>
          <w:rFonts w:hint="eastAsia" w:ascii="Times New Roman" w:hAnsi="Times New Roman" w:eastAsia="方正仿宋简体" w:cs="Times New Roman"/>
          <w:sz w:val="32"/>
          <w:szCs w:val="32"/>
        </w:rPr>
        <w:t>79</w:t>
      </w:r>
      <w:r>
        <w:rPr>
          <w:rFonts w:hint="eastAsia" w:ascii="仿宋" w:hAnsi="仿宋" w:eastAsia="方正仿宋简体" w:cs="仿宋_GB2312"/>
          <w:sz w:val="32"/>
          <w:szCs w:val="32"/>
        </w:rPr>
        <w:t>分</w:t>
      </w:r>
      <w:r>
        <w:rPr>
          <w:rFonts w:hint="eastAsia" w:ascii="Times New Roman" w:hAnsi="Times New Roman" w:eastAsia="方正仿宋简体" w:cs="Times New Roman"/>
          <w:sz w:val="32"/>
          <w:szCs w:val="32"/>
        </w:rPr>
        <w:t>-60</w:t>
      </w:r>
      <w:r>
        <w:rPr>
          <w:rFonts w:hint="eastAsia" w:ascii="仿宋" w:hAnsi="仿宋" w:eastAsia="方正仿宋简体" w:cs="仿宋_GB2312"/>
          <w:sz w:val="32"/>
          <w:szCs w:val="32"/>
        </w:rPr>
        <w:t>（含）、</w:t>
      </w:r>
      <w:r>
        <w:rPr>
          <w:rFonts w:hint="eastAsia" w:ascii="Times New Roman" w:hAnsi="Times New Roman" w:eastAsia="方正仿宋简体" w:cs="Times New Roman"/>
          <w:sz w:val="32"/>
          <w:szCs w:val="32"/>
        </w:rPr>
        <w:t>D</w:t>
      </w:r>
      <w:r>
        <w:rPr>
          <w:rFonts w:hint="eastAsia" w:ascii="仿宋" w:hAnsi="仿宋" w:eastAsia="方正仿宋简体" w:cs="仿宋_GB2312"/>
          <w:sz w:val="32"/>
          <w:szCs w:val="32"/>
        </w:rPr>
        <w:t>为</w:t>
      </w:r>
      <w:r>
        <w:rPr>
          <w:rFonts w:hint="eastAsia" w:ascii="Times New Roman" w:hAnsi="Times New Roman" w:eastAsia="方正仿宋简体" w:cs="Times New Roman"/>
          <w:sz w:val="32"/>
          <w:szCs w:val="32"/>
        </w:rPr>
        <w:t>60</w:t>
      </w:r>
      <w:r>
        <w:rPr>
          <w:rFonts w:hint="eastAsia" w:ascii="仿宋" w:hAnsi="仿宋" w:eastAsia="方正仿宋简体" w:cs="仿宋_GB2312"/>
          <w:sz w:val="32"/>
          <w:szCs w:val="32"/>
        </w:rPr>
        <w:t>分以下。</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第十</w:t>
      </w:r>
      <w:r>
        <w:rPr>
          <w:rFonts w:hint="eastAsia" w:ascii="方正楷体简体" w:hAnsi="方正楷体简体" w:eastAsia="方正楷体简体" w:cs="方正楷体简体"/>
          <w:b/>
          <w:sz w:val="32"/>
          <w:szCs w:val="32"/>
          <w:lang w:eastAsia="zh-Hans"/>
        </w:rPr>
        <w:t>八</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b/>
          <w:sz w:val="32"/>
          <w:szCs w:val="32"/>
        </w:rPr>
        <w:t> </w:t>
      </w:r>
      <w:r>
        <w:rPr>
          <w:rFonts w:hint="eastAsia" w:ascii="仿宋" w:hAnsi="仿宋" w:eastAsia="方正仿宋简体" w:cs="仿宋_GB2312"/>
          <w:bCs/>
          <w:sz w:val="32"/>
          <w:szCs w:val="32"/>
          <w:lang w:eastAsia="zh-Hans"/>
        </w:rPr>
        <w:t>科技计划项目</w:t>
      </w:r>
      <w:r>
        <w:rPr>
          <w:rFonts w:hint="eastAsia" w:ascii="仿宋" w:hAnsi="仿宋" w:eastAsia="方正仿宋简体" w:cs="仿宋_GB2312"/>
          <w:sz w:val="32"/>
          <w:szCs w:val="32"/>
        </w:rPr>
        <w:t>绩效评价工作完成后，省科技厅下达计划项目处室应会同初审推荐单位及时将评价结果告知评价对象。如需整改，应明确整改要求。被评价单位应当按要求实施整改，按时报送整改落实情况；下达计划处室会同各初审推荐单位应切实履行职责，督促整改落实。对逾期未完成整改或整改不到位的，项目承担单位应向省科技厅</w:t>
      </w:r>
      <w:r>
        <w:rPr>
          <w:rFonts w:hint="eastAsia" w:ascii="仿宋" w:hAnsi="仿宋" w:eastAsia="方正仿宋简体" w:cs="仿宋_GB2312"/>
          <w:sz w:val="32"/>
          <w:szCs w:val="32"/>
          <w:lang w:eastAsia="zh-Hans"/>
        </w:rPr>
        <w:t>作</w:t>
      </w:r>
      <w:r>
        <w:rPr>
          <w:rFonts w:hint="eastAsia" w:ascii="仿宋" w:hAnsi="仿宋" w:eastAsia="方正仿宋简体" w:cs="仿宋_GB2312"/>
          <w:sz w:val="32"/>
          <w:szCs w:val="32"/>
        </w:rPr>
        <w:t>出书面说明。</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cs="仿宋_GB2312"/>
          <w:sz w:val="32"/>
          <w:szCs w:val="32"/>
        </w:rPr>
      </w:pPr>
      <w:r>
        <w:rPr>
          <w:rFonts w:hint="eastAsia" w:ascii="方正楷体简体" w:hAnsi="方正楷体简体" w:eastAsia="方正楷体简体" w:cs="方正楷体简体"/>
          <w:b/>
          <w:sz w:val="32"/>
          <w:szCs w:val="32"/>
        </w:rPr>
        <w:t>第</w:t>
      </w:r>
      <w:r>
        <w:rPr>
          <w:rFonts w:hint="eastAsia" w:ascii="方正楷体简体" w:hAnsi="方正楷体简体" w:eastAsia="方正楷体简体" w:cs="方正楷体简体"/>
          <w:b/>
          <w:sz w:val="32"/>
          <w:szCs w:val="32"/>
          <w:lang w:eastAsia="zh-Hans"/>
        </w:rPr>
        <w:t>十九</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w:t>
      </w:r>
      <w:bookmarkStart w:id="1" w:name="_Hlk133396773"/>
      <w:r>
        <w:rPr>
          <w:rFonts w:hint="eastAsia" w:ascii="仿宋" w:hAnsi="仿宋" w:eastAsia="方正仿宋简体" w:cs="仿宋_GB2312"/>
          <w:sz w:val="32"/>
          <w:szCs w:val="32"/>
        </w:rPr>
        <w:t>科技</w:t>
      </w:r>
      <w:r>
        <w:rPr>
          <w:rFonts w:hint="eastAsia" w:ascii="仿宋" w:hAnsi="仿宋" w:eastAsia="方正仿宋简体" w:cs="仿宋_GB2312"/>
          <w:sz w:val="32"/>
          <w:szCs w:val="32"/>
          <w:lang w:eastAsia="zh-Hans"/>
        </w:rPr>
        <w:t>计划</w:t>
      </w:r>
      <w:r>
        <w:rPr>
          <w:rFonts w:hint="eastAsia" w:ascii="仿宋" w:hAnsi="仿宋" w:eastAsia="方正仿宋简体" w:cs="仿宋_GB2312"/>
          <w:sz w:val="32"/>
          <w:szCs w:val="32"/>
        </w:rPr>
        <w:t>项目绩效评价结果应作为该项目调整、后续经费支持的重要依据</w:t>
      </w:r>
      <w:bookmarkEnd w:id="1"/>
      <w:r>
        <w:rPr>
          <w:rFonts w:hint="eastAsia" w:ascii="仿宋" w:hAnsi="仿宋" w:eastAsia="方正仿宋简体" w:cs="仿宋_GB2312"/>
          <w:sz w:val="32"/>
          <w:szCs w:val="32"/>
        </w:rPr>
        <w:t>，其中：科技</w:t>
      </w:r>
      <w:r>
        <w:rPr>
          <w:rFonts w:hint="eastAsia" w:ascii="仿宋" w:hAnsi="仿宋" w:eastAsia="方正仿宋简体" w:cs="仿宋_GB2312"/>
          <w:sz w:val="32"/>
          <w:szCs w:val="32"/>
          <w:lang w:eastAsia="zh-Hans"/>
        </w:rPr>
        <w:t>计划</w:t>
      </w:r>
      <w:r>
        <w:rPr>
          <w:rFonts w:hint="eastAsia" w:ascii="仿宋" w:hAnsi="仿宋" w:eastAsia="方正仿宋简体" w:cs="仿宋_GB2312"/>
          <w:sz w:val="32"/>
          <w:szCs w:val="32"/>
        </w:rPr>
        <w:t>项目关键节点评价结果作为项目</w:t>
      </w:r>
      <w:r>
        <w:rPr>
          <w:rFonts w:hint="eastAsia" w:ascii="仿宋" w:hAnsi="仿宋" w:eastAsia="方正仿宋简体" w:cs="仿宋_GB2312"/>
          <w:sz w:val="32"/>
          <w:szCs w:val="32"/>
          <w:lang w:eastAsia="zh-Hans"/>
        </w:rPr>
        <w:t>立项、进度</w:t>
      </w:r>
      <w:r>
        <w:rPr>
          <w:rFonts w:hint="eastAsia" w:ascii="仿宋" w:hAnsi="仿宋" w:eastAsia="方正仿宋简体" w:cs="仿宋_GB2312"/>
          <w:sz w:val="32"/>
          <w:szCs w:val="32"/>
        </w:rPr>
        <w:t>款</w:t>
      </w:r>
      <w:r>
        <w:rPr>
          <w:rFonts w:hint="eastAsia" w:ascii="仿宋" w:hAnsi="仿宋" w:eastAsia="方正仿宋简体" w:cs="仿宋_GB2312"/>
          <w:sz w:val="32"/>
          <w:szCs w:val="32"/>
          <w:lang w:eastAsia="zh-Hans"/>
        </w:rPr>
        <w:t>拨付、整改、终止</w:t>
      </w:r>
      <w:r>
        <w:rPr>
          <w:rFonts w:hint="eastAsia" w:ascii="仿宋" w:hAnsi="仿宋" w:eastAsia="方正仿宋简体" w:cs="仿宋_GB2312"/>
          <w:sz w:val="32"/>
          <w:szCs w:val="32"/>
        </w:rPr>
        <w:t>和诚信管理的关键依据</w:t>
      </w:r>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后评价结果应作为科技部门持续支持、项目承担单位后续科研方向谋划、投融资机构决策的参考。相关责任主体存在失信行为的，应纳入科研诚信管理。同时，样本项目绩效评价的结果作为项目推荐部门、项目承担单位和项目负责人科研信用评价的重要参考依据，列入科研信用档案。</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（一）等级为</w:t>
      </w:r>
      <w:r>
        <w:rPr>
          <w:rFonts w:hint="eastAsia" w:ascii="Times New Roman" w:hAnsi="Times New Roman" w:eastAsia="方正仿宋简体" w:cs="Times New Roman"/>
          <w:sz w:val="32"/>
          <w:szCs w:val="32"/>
        </w:rPr>
        <w:t>A</w:t>
      </w:r>
      <w:r>
        <w:rPr>
          <w:rFonts w:hint="eastAsia" w:ascii="仿宋" w:hAnsi="仿宋" w:eastAsia="方正仿宋简体" w:cs="仿宋_GB2312"/>
          <w:sz w:val="32"/>
          <w:szCs w:val="32"/>
        </w:rPr>
        <w:t>的，项目负责人所有项目连续两年不纳入评价样本；</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（二）等级为</w:t>
      </w:r>
      <w:r>
        <w:rPr>
          <w:rFonts w:hint="eastAsia" w:ascii="Times New Roman" w:hAnsi="Times New Roman" w:eastAsia="方正仿宋简体" w:cs="Times New Roman"/>
          <w:sz w:val="32"/>
          <w:szCs w:val="32"/>
        </w:rPr>
        <w:t>B</w:t>
      </w:r>
      <w:r>
        <w:rPr>
          <w:rFonts w:hint="eastAsia" w:ascii="仿宋" w:hAnsi="仿宋" w:eastAsia="方正仿宋简体" w:cs="仿宋_GB2312"/>
          <w:sz w:val="32"/>
          <w:szCs w:val="32"/>
        </w:rPr>
        <w:t>的，项目负责人所有项目不纳入下一年度评价样本；</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（三）等级为</w:t>
      </w:r>
      <w:r>
        <w:rPr>
          <w:rFonts w:hint="eastAsia" w:ascii="Times New Roman" w:hAnsi="Times New Roman" w:eastAsia="方正仿宋简体" w:cs="Times New Roman"/>
          <w:sz w:val="32"/>
          <w:szCs w:val="32"/>
        </w:rPr>
        <w:t>C</w:t>
      </w:r>
      <w:r>
        <w:rPr>
          <w:rFonts w:hint="eastAsia" w:ascii="仿宋" w:hAnsi="仿宋" w:eastAsia="方正仿宋简体" w:cs="仿宋_GB2312"/>
          <w:sz w:val="32"/>
          <w:szCs w:val="32"/>
        </w:rPr>
        <w:t>的，责令限期整改，整改期限不超过</w:t>
      </w:r>
      <w:r>
        <w:rPr>
          <w:rFonts w:hint="eastAsia" w:ascii="Times New Roman" w:hAnsi="Times New Roman" w:eastAsia="方正仿宋简体" w:cs="Times New Roman"/>
          <w:sz w:val="32"/>
          <w:szCs w:val="32"/>
        </w:rPr>
        <w:t>3</w:t>
      </w:r>
      <w:r>
        <w:rPr>
          <w:rFonts w:hint="eastAsia" w:ascii="仿宋" w:hAnsi="仿宋" w:eastAsia="方正仿宋简体" w:cs="仿宋_GB2312"/>
          <w:sz w:val="32"/>
          <w:szCs w:val="32"/>
        </w:rPr>
        <w:t>个月。整改期内，对评价对象申请的科技活动不予受理，暂缓立项与成果奖励推荐，暂缓结题验收，暂停拨付后续经费。对拒不整改或整改后仍不符合要求的，可采取通报批评、暂缓拨款、暂停项目直至中止项目等处理措施。若该项目处于过程执行或成果延伸阶段，则直接纳入下一年度评价样本；</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（四）等级为</w:t>
      </w:r>
      <w:r>
        <w:rPr>
          <w:rFonts w:hint="eastAsia" w:ascii="Times New Roman" w:hAnsi="Times New Roman" w:eastAsia="方正仿宋简体" w:cs="Times New Roman"/>
          <w:sz w:val="32"/>
          <w:szCs w:val="32"/>
        </w:rPr>
        <w:t>D</w:t>
      </w:r>
      <w:r>
        <w:rPr>
          <w:rFonts w:hint="eastAsia" w:ascii="仿宋" w:hAnsi="仿宋" w:eastAsia="方正仿宋简体" w:cs="仿宋_GB2312"/>
          <w:sz w:val="32"/>
          <w:szCs w:val="32"/>
        </w:rPr>
        <w:t>的，强制中止项目，不予拨付经费，组织财务清算。将项目负责人承担的所有在研项目直接纳入下一年度评价样本，并对其牵头和参与的后续科研活动加强监督与检查频次。</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lang w:eastAsia="zh-Hans"/>
        </w:rPr>
      </w:pPr>
      <w:r>
        <w:rPr>
          <w:rFonts w:hint="eastAsia" w:ascii="方正楷体简体" w:hAnsi="方正楷体简体" w:eastAsia="方正楷体简体" w:cs="方正楷体简体"/>
          <w:b/>
          <w:sz w:val="32"/>
          <w:szCs w:val="32"/>
        </w:rPr>
        <w:t>第</w:t>
      </w:r>
      <w:r>
        <w:rPr>
          <w:rFonts w:hint="eastAsia" w:ascii="方正楷体简体" w:hAnsi="方正楷体简体" w:eastAsia="方正楷体简体" w:cs="方正楷体简体"/>
          <w:b/>
          <w:sz w:val="32"/>
          <w:szCs w:val="32"/>
          <w:lang w:eastAsia="zh-Hans"/>
        </w:rPr>
        <w:t>二十</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w:t>
      </w:r>
      <w:bookmarkStart w:id="2" w:name="_Hlk133396789"/>
      <w:r>
        <w:rPr>
          <w:rFonts w:hint="eastAsia" w:ascii="仿宋" w:hAnsi="仿宋" w:eastAsia="方正仿宋简体" w:cs="仿宋_GB2312"/>
          <w:sz w:val="32"/>
          <w:szCs w:val="32"/>
        </w:rPr>
        <w:t>科技计划</w:t>
      </w:r>
      <w:r>
        <w:rPr>
          <w:rFonts w:hint="eastAsia" w:ascii="仿宋" w:hAnsi="仿宋" w:eastAsia="方正仿宋简体" w:cs="仿宋_GB2312"/>
          <w:sz w:val="32"/>
          <w:szCs w:val="32"/>
          <w:lang w:eastAsia="zh-Hans"/>
        </w:rPr>
        <w:t>整体</w:t>
      </w:r>
      <w:r>
        <w:rPr>
          <w:rFonts w:hint="eastAsia" w:ascii="仿宋" w:hAnsi="仿宋" w:eastAsia="方正仿宋简体" w:cs="仿宋_GB2312"/>
          <w:sz w:val="32"/>
          <w:szCs w:val="32"/>
        </w:rPr>
        <w:t>绩效评价结果应当作为省委省政府科技战略部署的参考</w:t>
      </w:r>
      <w:bookmarkEnd w:id="2"/>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作为优化预算安排和强化预算绩效管理的依据</w:t>
      </w:r>
      <w:r>
        <w:rPr>
          <w:rFonts w:hint="eastAsia" w:ascii="仿宋" w:hAnsi="仿宋" w:eastAsia="方正仿宋简体" w:cs="仿宋_GB2312"/>
          <w:sz w:val="32"/>
          <w:szCs w:val="32"/>
          <w:lang w:eastAsia="zh-Hans"/>
        </w:rPr>
        <w:t>；</w:t>
      </w:r>
      <w:r>
        <w:rPr>
          <w:rFonts w:hint="eastAsia" w:ascii="仿宋" w:hAnsi="仿宋" w:eastAsia="方正仿宋简体" w:cs="仿宋_GB2312"/>
          <w:sz w:val="32"/>
          <w:szCs w:val="32"/>
        </w:rPr>
        <w:t>作为省科技厅在推进机制改革、优化立项布局、改进预算编制、完善项目管理等方面的参考。</w:t>
      </w:r>
      <w:r>
        <w:rPr>
          <w:rFonts w:hint="eastAsia" w:ascii="仿宋" w:hAnsi="仿宋" w:eastAsia="方正仿宋简体" w:cs="仿宋_GB2312"/>
          <w:sz w:val="32"/>
          <w:szCs w:val="32"/>
          <w:lang w:eastAsia="zh-Hans"/>
        </w:rPr>
        <w:t>评价结果</w:t>
      </w:r>
      <w:r>
        <w:rPr>
          <w:rFonts w:hint="eastAsia" w:ascii="仿宋" w:hAnsi="仿宋" w:eastAsia="方正仿宋简体" w:cs="仿宋_GB2312"/>
          <w:sz w:val="32"/>
          <w:szCs w:val="32"/>
        </w:rPr>
        <w:t>原则上与下一年度预算编制计划挂钩</w:t>
      </w:r>
      <w:r>
        <w:rPr>
          <w:rFonts w:hint="eastAsia" w:ascii="仿宋" w:hAnsi="仿宋" w:eastAsia="方正仿宋简体" w:cs="仿宋_GB2312"/>
          <w:sz w:val="32"/>
          <w:szCs w:val="32"/>
          <w:lang w:eastAsia="zh-Hans"/>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（一）等级为</w:t>
      </w:r>
      <w:r>
        <w:rPr>
          <w:rFonts w:hint="eastAsia" w:ascii="Times New Roman" w:hAnsi="Times New Roman" w:eastAsia="方正仿宋简体" w:cs="Times New Roman"/>
          <w:sz w:val="32"/>
          <w:szCs w:val="32"/>
        </w:rPr>
        <w:t>A</w:t>
      </w:r>
      <w:r>
        <w:rPr>
          <w:rFonts w:hint="eastAsia" w:ascii="仿宋" w:hAnsi="仿宋" w:eastAsia="方正仿宋简体" w:cs="仿宋_GB2312"/>
          <w:sz w:val="32"/>
          <w:szCs w:val="32"/>
        </w:rPr>
        <w:t>的，可适当调增预算编制计划额度；</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（二）等级为</w:t>
      </w:r>
      <w:r>
        <w:rPr>
          <w:rFonts w:hint="eastAsia" w:ascii="Times New Roman" w:hAnsi="Times New Roman" w:eastAsia="方正仿宋简体" w:cs="Times New Roman"/>
          <w:sz w:val="32"/>
          <w:szCs w:val="32"/>
        </w:rPr>
        <w:t>B</w:t>
      </w:r>
      <w:r>
        <w:rPr>
          <w:rFonts w:hint="eastAsia" w:ascii="仿宋" w:hAnsi="仿宋" w:eastAsia="方正仿宋简体" w:cs="仿宋_GB2312"/>
          <w:sz w:val="32"/>
          <w:szCs w:val="32"/>
        </w:rPr>
        <w:t>的，按预算编制计划执行；</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（三）等级为</w:t>
      </w:r>
      <w:r>
        <w:rPr>
          <w:rFonts w:hint="eastAsia" w:ascii="Times New Roman" w:hAnsi="Times New Roman" w:eastAsia="方正仿宋简体" w:cs="Times New Roman"/>
          <w:sz w:val="32"/>
          <w:szCs w:val="32"/>
        </w:rPr>
        <w:t>C</w:t>
      </w:r>
      <w:r>
        <w:rPr>
          <w:rFonts w:hint="eastAsia" w:ascii="仿宋" w:hAnsi="仿宋" w:eastAsia="方正仿宋简体" w:cs="仿宋_GB2312"/>
          <w:sz w:val="32"/>
          <w:szCs w:val="32"/>
        </w:rPr>
        <w:t>的，应进行限期整改，修订完善管理办法、优化管理流程和手段，期限不超过</w:t>
      </w:r>
      <w:r>
        <w:rPr>
          <w:rFonts w:hint="eastAsia" w:ascii="Times New Roman" w:hAnsi="Times New Roman" w:eastAsia="方正仿宋简体" w:cs="Times New Roman"/>
          <w:sz w:val="32"/>
          <w:szCs w:val="32"/>
        </w:rPr>
        <w:t>3</w:t>
      </w:r>
      <w:r>
        <w:rPr>
          <w:rFonts w:hint="eastAsia" w:ascii="仿宋" w:hAnsi="仿宋" w:eastAsia="方正仿宋简体" w:cs="仿宋_GB2312"/>
          <w:sz w:val="32"/>
          <w:szCs w:val="32"/>
        </w:rPr>
        <w:t>个月。限期内完成整改的，按预算编制计划执行；逾期仍未完成整改的，按上年度预算编制计划执行。连续三次评价等级为</w:t>
      </w:r>
      <w:r>
        <w:rPr>
          <w:rFonts w:hint="eastAsia" w:ascii="Times New Roman" w:hAnsi="Times New Roman" w:eastAsia="方正仿宋简体" w:cs="Times New Roman"/>
          <w:sz w:val="32"/>
          <w:szCs w:val="32"/>
        </w:rPr>
        <w:t>C</w:t>
      </w:r>
      <w:r>
        <w:rPr>
          <w:rFonts w:hint="eastAsia" w:ascii="仿宋" w:hAnsi="仿宋" w:eastAsia="方正仿宋简体" w:cs="仿宋_GB2312"/>
          <w:sz w:val="32"/>
          <w:szCs w:val="32"/>
        </w:rPr>
        <w:t>的，第三次评价等级直接降为</w:t>
      </w:r>
      <w:r>
        <w:rPr>
          <w:rFonts w:hint="eastAsia" w:ascii="Times New Roman" w:hAnsi="Times New Roman" w:eastAsia="方正仿宋简体" w:cs="Times New Roman"/>
          <w:sz w:val="32"/>
          <w:szCs w:val="32"/>
        </w:rPr>
        <w:t>D</w:t>
      </w:r>
      <w:r>
        <w:rPr>
          <w:rFonts w:hint="eastAsia" w:ascii="仿宋" w:hAnsi="仿宋" w:eastAsia="方正仿宋简体" w:cs="仿宋_GB2312"/>
          <w:sz w:val="32"/>
          <w:szCs w:val="32"/>
        </w:rPr>
        <w:t>；</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（四）等级为</w:t>
      </w:r>
      <w:r>
        <w:rPr>
          <w:rFonts w:hint="eastAsia" w:ascii="Times New Roman" w:hAnsi="Times New Roman" w:eastAsia="方正仿宋简体" w:cs="Times New Roman"/>
          <w:sz w:val="32"/>
          <w:szCs w:val="32"/>
        </w:rPr>
        <w:t>D</w:t>
      </w:r>
      <w:r>
        <w:rPr>
          <w:rFonts w:hint="eastAsia" w:ascii="仿宋" w:hAnsi="仿宋" w:eastAsia="方正仿宋简体" w:cs="仿宋_GB2312"/>
          <w:sz w:val="32"/>
          <w:szCs w:val="32"/>
        </w:rPr>
        <w:t>的，在上年度预算编制计划基础上调减；对项目承担单位、初审推荐单位进行通报。</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 w:hAnsi="仿宋" w:eastAsia="方正仿宋简体" w:cs="仿宋_GB2312"/>
          <w:sz w:val="32"/>
          <w:szCs w:val="32"/>
        </w:rPr>
      </w:pPr>
      <w:r>
        <w:rPr>
          <w:rFonts w:hint="eastAsia" w:ascii="仿宋" w:hAnsi="仿宋" w:eastAsia="方正仿宋简体" w:cs="仿宋_GB2312"/>
          <w:sz w:val="32"/>
          <w:szCs w:val="32"/>
        </w:rPr>
        <w:t>等级为</w:t>
      </w:r>
      <w:r>
        <w:rPr>
          <w:rFonts w:hint="eastAsia" w:ascii="Times New Roman" w:hAnsi="Times New Roman" w:eastAsia="方正仿宋简体" w:cs="Times New Roman"/>
          <w:sz w:val="32"/>
          <w:szCs w:val="32"/>
        </w:rPr>
        <w:t>C</w:t>
      </w:r>
      <w:r>
        <w:rPr>
          <w:rFonts w:hint="eastAsia" w:ascii="仿宋" w:hAnsi="仿宋" w:eastAsia="方正仿宋简体" w:cs="仿宋_GB2312"/>
          <w:sz w:val="32"/>
          <w:szCs w:val="32"/>
        </w:rPr>
        <w:t>或</w:t>
      </w:r>
      <w:r>
        <w:rPr>
          <w:rFonts w:hint="eastAsia" w:ascii="Times New Roman" w:hAnsi="Times New Roman" w:eastAsia="方正仿宋简体" w:cs="Times New Roman"/>
          <w:sz w:val="32"/>
          <w:szCs w:val="32"/>
        </w:rPr>
        <w:t>D</w:t>
      </w:r>
      <w:r>
        <w:rPr>
          <w:rFonts w:hint="eastAsia" w:ascii="仿宋" w:hAnsi="仿宋" w:eastAsia="方正仿宋简体" w:cs="仿宋_GB2312"/>
          <w:sz w:val="32"/>
          <w:szCs w:val="32"/>
        </w:rPr>
        <w:t>的，若本年度与上年度相比预算编制计划额度</w:t>
      </w:r>
      <w:r>
        <w:rPr>
          <w:rFonts w:hint="eastAsia" w:ascii="仿宋" w:hAnsi="仿宋" w:eastAsia="方正仿宋简体" w:cs="仿宋_GB2312"/>
          <w:spacing w:val="-8"/>
          <w:sz w:val="32"/>
          <w:szCs w:val="32"/>
        </w:rPr>
        <w:t>较低，则按低额度实施调减；调减的经费按相关经费管理规定处</w:t>
      </w:r>
      <w:r>
        <w:rPr>
          <w:rFonts w:hint="eastAsia" w:ascii="仿宋" w:hAnsi="仿宋" w:eastAsia="方正仿宋简体" w:cs="仿宋_GB2312"/>
          <w:sz w:val="32"/>
          <w:szCs w:val="32"/>
        </w:rPr>
        <w:t>理。</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仿宋_GB2312" w:hAnsi="仿宋_GB2312" w:eastAsia="仿宋_GB2312" w:cs="仿宋_GB2312"/>
          <w:b/>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章  保障与监督</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一</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省科技厅推动科技计划绩效评价工作信息化建设。运用现有信息平台，利用科技活动组织实施、管理与监督评价中积累的各类信息和数据，充分利用互联网、大数据等技术手段，发展信息化评价模型，提升绩效评价工作能力、质量和效率。</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ascii="仿宋" w:hAnsi="仿宋" w:eastAsia="方正仿宋简体" w:cs="仿宋_GB2312"/>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二</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 省科技厅建立科技计划绩效评价工作专项经费，纳入年度经费预算，协调有关方面提供科技计划绩效评价必要的资料信息等条件，保障绩效评价有序开展。</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三</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第三方机构需按照评价方案，制定工作规范程序，建立全过程质量控制和报告审查机制，按时保质完成评价任务，确保评价信息收集和处理全面、可信、综合分析评价依据充分，形成的评价报告要素齐全、内容完整、数据准确、逻辑清晰、简洁易懂，结果客观公正。</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四</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xml:space="preserve"> 实行诚信承诺制度和信用记录制度，第三方评价机构、评价人员和咨询专家均应签订诚信承诺书，纳入科研诚信信息管理系统。</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bCs/>
          <w:sz w:val="32"/>
          <w:szCs w:val="32"/>
        </w:rPr>
        <w:t>第二十</w:t>
      </w:r>
      <w:r>
        <w:rPr>
          <w:rFonts w:hint="eastAsia" w:ascii="方正楷体简体" w:hAnsi="方正楷体简体" w:eastAsia="方正楷体简体" w:cs="方正楷体简体"/>
          <w:b/>
          <w:bCs/>
          <w:sz w:val="32"/>
          <w:szCs w:val="32"/>
          <w:lang w:eastAsia="zh-Hans"/>
        </w:rPr>
        <w:t>五</w:t>
      </w:r>
      <w:r>
        <w:rPr>
          <w:rFonts w:hint="eastAsia" w:ascii="方正楷体简体" w:hAnsi="方正楷体简体" w:eastAsia="方正楷体简体" w:cs="方正楷体简体"/>
          <w:b/>
          <w:bCs/>
          <w:sz w:val="32"/>
          <w:szCs w:val="32"/>
        </w:rPr>
        <w:t>条</w:t>
      </w:r>
      <w:r>
        <w:rPr>
          <w:rFonts w:hint="eastAsia" w:ascii="仿宋" w:hAnsi="仿宋" w:eastAsia="方正仿宋简体" w:cs="仿宋_GB2312"/>
          <w:b/>
          <w:bCs/>
          <w:sz w:val="32"/>
          <w:szCs w:val="32"/>
        </w:rPr>
        <w:t xml:space="preserve"> </w:t>
      </w:r>
      <w:r>
        <w:rPr>
          <w:rFonts w:hint="eastAsia" w:ascii="仿宋" w:hAnsi="仿宋" w:eastAsia="方正仿宋简体" w:cs="仿宋_GB2312"/>
          <w:sz w:val="32"/>
          <w:szCs w:val="32"/>
        </w:rPr>
        <w:t>绩效评价涉及国家秘密的按有关保密规定进行管理。第三方机构应具备相关保密条件，省科技厅与评估机构签订保密协议，明确保密责任和有关要求。</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六</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xml:space="preserve"> 因不可抗力因素导致难以实现预定绩效评价目标的，在履行勤勉尽责义务、没有牟取非法利益前提下，对相关主体可以免除相应责任。</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仿宋" w:hAnsi="仿宋" w:eastAsia="方正仿宋简体"/>
          <w:sz w:val="32"/>
          <w:szCs w:val="32"/>
        </w:rPr>
      </w:pP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jc w:val="center"/>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章  附  则</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七</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 本办法由省科技厅负责解释。</w:t>
      </w:r>
    </w:p>
    <w:p>
      <w:pPr>
        <w:pStyle w:val="14"/>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2" w:firstLineChars="200"/>
        <w:jc w:val="both"/>
        <w:textAlignment w:val="auto"/>
        <w:rPr>
          <w:rFonts w:hint="eastAsia" w:ascii="仿宋" w:hAnsi="仿宋" w:eastAsia="方正仿宋简体" w:cs="仿宋_GB2312"/>
          <w:sz w:val="32"/>
          <w:szCs w:val="32"/>
        </w:rPr>
      </w:pPr>
      <w:r>
        <w:rPr>
          <w:rFonts w:hint="eastAsia" w:ascii="方正楷体简体" w:hAnsi="方正楷体简体" w:eastAsia="方正楷体简体" w:cs="方正楷体简体"/>
          <w:b/>
          <w:sz w:val="32"/>
          <w:szCs w:val="32"/>
        </w:rPr>
        <w:t>第二十</w:t>
      </w:r>
      <w:r>
        <w:rPr>
          <w:rFonts w:hint="eastAsia" w:ascii="方正楷体简体" w:hAnsi="方正楷体简体" w:eastAsia="方正楷体简体" w:cs="方正楷体简体"/>
          <w:b/>
          <w:sz w:val="32"/>
          <w:szCs w:val="32"/>
          <w:lang w:eastAsia="zh-Hans"/>
        </w:rPr>
        <w:t>八</w:t>
      </w:r>
      <w:r>
        <w:rPr>
          <w:rFonts w:hint="eastAsia" w:ascii="方正楷体简体" w:hAnsi="方正楷体简体" w:eastAsia="方正楷体简体" w:cs="方正楷体简体"/>
          <w:b/>
          <w:sz w:val="32"/>
          <w:szCs w:val="32"/>
        </w:rPr>
        <w:t>条</w:t>
      </w:r>
      <w:r>
        <w:rPr>
          <w:rFonts w:hint="eastAsia" w:ascii="仿宋" w:hAnsi="仿宋" w:eastAsia="方正仿宋简体" w:cs="仿宋_GB2312"/>
          <w:sz w:val="32"/>
          <w:szCs w:val="32"/>
        </w:rPr>
        <w:t> 本办法自发布之日起实施。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简体" w:cs="Times New Roman"/>
          <w:color w:val="auto"/>
          <w:sz w:val="32"/>
          <w:szCs w:val="32"/>
          <w:u w:val="none"/>
          <w:lang w:val="en-US" w:eastAsia="zh-CN"/>
        </w:rPr>
      </w:pPr>
    </w:p>
    <w:p>
      <w:pPr>
        <w:keepNext w:val="0"/>
        <w:keepLines w:val="0"/>
        <w:pageBreakBefore w:val="0"/>
        <w:kinsoku/>
        <w:wordWrap/>
        <w:overflowPunct/>
        <w:topLinePunct w:val="0"/>
        <w:autoSpaceDE/>
        <w:autoSpaceDN/>
        <w:bidi w:val="0"/>
        <w:spacing w:line="600" w:lineRule="exact"/>
        <w:textAlignment w:val="auto"/>
        <w:rPr>
          <w:rFonts w:eastAsia="方正仿宋简体"/>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lang w:eastAsia="zh-CN"/>
        </w:rPr>
      </w:pP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600" w:lineRule="exact"/>
        <w:textAlignment w:val="auto"/>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p>
    <w:p>
      <w:pPr>
        <w:pStyle w:val="2"/>
        <w:rPr>
          <w:rFonts w:hint="eastAsia" w:eastAsia="方正仿宋简体"/>
        </w:rPr>
      </w:pPr>
      <w:bookmarkStart w:id="3" w:name="_GoBack"/>
      <w:bookmarkEnd w:id="3"/>
    </w:p>
    <w:sectPr>
      <w:footerReference r:id="rId3" w:type="default"/>
      <w:footerReference r:id="rId4" w:type="even"/>
      <w:pgSz w:w="11906" w:h="16838"/>
      <w:pgMar w:top="2098" w:right="1531" w:bottom="1984" w:left="1531" w:header="851" w:footer="992" w:gutter="0"/>
      <w:pgNumType w:fmt="decimal"/>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eastAsia="方正仿宋简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rPr>
                              <w:rFonts w:eastAsia="方正仿宋简体"/>
                            </w:rPr>
                          </w:pPr>
                          <w:r>
                            <w:rPr>
                              <w:rFonts w:eastAsia="方正仿宋简体"/>
                            </w:rPr>
                            <w:t xml:space="preserve">— </w:t>
                          </w:r>
                          <w:r>
                            <w:rPr>
                              <w:rFonts w:eastAsia="方正仿宋简体"/>
                              <w:sz w:val="24"/>
                              <w:szCs w:val="24"/>
                            </w:rPr>
                            <w:fldChar w:fldCharType="begin"/>
                          </w:r>
                          <w:r>
                            <w:rPr>
                              <w:rFonts w:eastAsia="方正仿宋简体"/>
                              <w:sz w:val="24"/>
                              <w:szCs w:val="24"/>
                            </w:rPr>
                            <w:instrText xml:space="preserve"> PAGE  \* MERGEFORMAT </w:instrText>
                          </w:r>
                          <w:r>
                            <w:rPr>
                              <w:rFonts w:eastAsia="方正仿宋简体"/>
                              <w:sz w:val="24"/>
                              <w:szCs w:val="24"/>
                            </w:rPr>
                            <w:fldChar w:fldCharType="separate"/>
                          </w:r>
                          <w:r>
                            <w:rPr>
                              <w:rFonts w:eastAsia="方正仿宋简体"/>
                              <w:sz w:val="24"/>
                              <w:szCs w:val="24"/>
                            </w:rPr>
                            <w:t>3</w:t>
                          </w:r>
                          <w:r>
                            <w:rPr>
                              <w:rFonts w:eastAsia="方正仿宋简体"/>
                              <w:sz w:val="24"/>
                              <w:szCs w:val="24"/>
                            </w:rPr>
                            <w:fldChar w:fldCharType="end"/>
                          </w:r>
                          <w:r>
                            <w:rPr>
                              <w:rFonts w:eastAsia="方正仿宋简体"/>
                              <w:sz w:val="24"/>
                              <w:szCs w:val="24"/>
                            </w:rPr>
                            <w:t xml:space="preserve"> </w:t>
                          </w:r>
                          <w:r>
                            <w:rPr>
                              <w:rFonts w:eastAsia="方正仿宋简体"/>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jc w:val="right"/>
                      <w:rPr>
                        <w:rFonts w:eastAsia="方正仿宋简体"/>
                      </w:rPr>
                    </w:pPr>
                    <w:r>
                      <w:rPr>
                        <w:rFonts w:eastAsia="方正仿宋简体"/>
                      </w:rPr>
                      <w:t xml:space="preserve">— </w:t>
                    </w:r>
                    <w:r>
                      <w:rPr>
                        <w:rFonts w:eastAsia="方正仿宋简体"/>
                        <w:sz w:val="24"/>
                        <w:szCs w:val="24"/>
                      </w:rPr>
                      <w:fldChar w:fldCharType="begin"/>
                    </w:r>
                    <w:r>
                      <w:rPr>
                        <w:rFonts w:eastAsia="方正仿宋简体"/>
                        <w:sz w:val="24"/>
                        <w:szCs w:val="24"/>
                      </w:rPr>
                      <w:instrText xml:space="preserve"> PAGE  \* MERGEFORMAT </w:instrText>
                    </w:r>
                    <w:r>
                      <w:rPr>
                        <w:rFonts w:eastAsia="方正仿宋简体"/>
                        <w:sz w:val="24"/>
                        <w:szCs w:val="24"/>
                      </w:rPr>
                      <w:fldChar w:fldCharType="separate"/>
                    </w:r>
                    <w:r>
                      <w:rPr>
                        <w:rFonts w:eastAsia="方正仿宋简体"/>
                        <w:sz w:val="24"/>
                        <w:szCs w:val="24"/>
                      </w:rPr>
                      <w:t>3</w:t>
                    </w:r>
                    <w:r>
                      <w:rPr>
                        <w:rFonts w:eastAsia="方正仿宋简体"/>
                        <w:sz w:val="24"/>
                        <w:szCs w:val="24"/>
                      </w:rPr>
                      <w:fldChar w:fldCharType="end"/>
                    </w:r>
                    <w:r>
                      <w:rPr>
                        <w:rFonts w:eastAsia="方正仿宋简体"/>
                        <w:sz w:val="24"/>
                        <w:szCs w:val="24"/>
                      </w:rPr>
                      <w:t xml:space="preserve"> </w:t>
                    </w:r>
                    <w:r>
                      <w:rPr>
                        <w:rFonts w:eastAsia="方正仿宋简体"/>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
        <w:sz w:val="24"/>
        <w:szCs w:val="24"/>
      </w:rPr>
    </w:pPr>
    <w:r>
      <w:rPr>
        <w:rFonts w:hint="eastAsia" w:eastAsia="仿宋"/>
        <w:sz w:val="24"/>
        <w:szCs w:val="24"/>
      </w:rPr>
      <w:t>—</w:t>
    </w:r>
    <w:r>
      <w:rPr>
        <w:rFonts w:eastAsia="仿宋"/>
        <w:sz w:val="24"/>
        <w:szCs w:val="24"/>
      </w:rPr>
      <w:fldChar w:fldCharType="begin"/>
    </w:r>
    <w:r>
      <w:rPr>
        <w:rFonts w:eastAsia="仿宋"/>
        <w:sz w:val="24"/>
        <w:szCs w:val="24"/>
      </w:rPr>
      <w:instrText xml:space="preserve"> PAGE   \* MERGEFORMAT </w:instrText>
    </w:r>
    <w:r>
      <w:rPr>
        <w:rFonts w:eastAsia="仿宋"/>
        <w:sz w:val="24"/>
        <w:szCs w:val="24"/>
      </w:rPr>
      <w:fldChar w:fldCharType="separate"/>
    </w:r>
    <w:r>
      <w:rPr>
        <w:rFonts w:eastAsia="仿宋"/>
        <w:sz w:val="24"/>
        <w:szCs w:val="24"/>
        <w:lang w:val="zh-CN"/>
      </w:rPr>
      <w:t>2</w:t>
    </w:r>
    <w:r>
      <w:rPr>
        <w:rFonts w:eastAsia="仿宋"/>
        <w:sz w:val="24"/>
        <w:szCs w:val="24"/>
      </w:rPr>
      <w:fldChar w:fldCharType="end"/>
    </w:r>
    <w:r>
      <w:rPr>
        <w:rFonts w:hint="eastAsia"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60"/>
  <w:drawingGridVerticalSpacing w:val="613"/>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DNhMDQzNmIwNWUyNmFlMDJhNjdiNjUyZjU5MzIifQ=="/>
    <w:docVar w:name="KSO_WPS_MARK_KEY" w:val="c52f2772-d44e-413f-a911-9c464a2d2cd3"/>
  </w:docVars>
  <w:rsids>
    <w:rsidRoot w:val="00546D54"/>
    <w:rsid w:val="000100A1"/>
    <w:rsid w:val="000116E7"/>
    <w:rsid w:val="00011CA2"/>
    <w:rsid w:val="00012F57"/>
    <w:rsid w:val="0001405A"/>
    <w:rsid w:val="00015F6A"/>
    <w:rsid w:val="00034977"/>
    <w:rsid w:val="00037C5C"/>
    <w:rsid w:val="000407DA"/>
    <w:rsid w:val="00042232"/>
    <w:rsid w:val="000438B9"/>
    <w:rsid w:val="000805AE"/>
    <w:rsid w:val="00081396"/>
    <w:rsid w:val="00083783"/>
    <w:rsid w:val="000A5FCA"/>
    <w:rsid w:val="000A685C"/>
    <w:rsid w:val="000B019C"/>
    <w:rsid w:val="000B4C4C"/>
    <w:rsid w:val="000B7E46"/>
    <w:rsid w:val="000C03DE"/>
    <w:rsid w:val="000C3D33"/>
    <w:rsid w:val="000E4CC2"/>
    <w:rsid w:val="0011228D"/>
    <w:rsid w:val="00116CFA"/>
    <w:rsid w:val="0012399E"/>
    <w:rsid w:val="00125AC4"/>
    <w:rsid w:val="0013154E"/>
    <w:rsid w:val="00132A47"/>
    <w:rsid w:val="00136C9B"/>
    <w:rsid w:val="0014214D"/>
    <w:rsid w:val="00150449"/>
    <w:rsid w:val="00157A47"/>
    <w:rsid w:val="0016136E"/>
    <w:rsid w:val="00162167"/>
    <w:rsid w:val="00164A50"/>
    <w:rsid w:val="00177989"/>
    <w:rsid w:val="00186560"/>
    <w:rsid w:val="001934BD"/>
    <w:rsid w:val="001A0939"/>
    <w:rsid w:val="001A348A"/>
    <w:rsid w:val="001A4C2B"/>
    <w:rsid w:val="001B6004"/>
    <w:rsid w:val="001C35CF"/>
    <w:rsid w:val="001D0659"/>
    <w:rsid w:val="001D554E"/>
    <w:rsid w:val="001D630F"/>
    <w:rsid w:val="001D6610"/>
    <w:rsid w:val="001F041A"/>
    <w:rsid w:val="001F0F1D"/>
    <w:rsid w:val="001F26F2"/>
    <w:rsid w:val="001F4576"/>
    <w:rsid w:val="001F6FDB"/>
    <w:rsid w:val="0021081D"/>
    <w:rsid w:val="00224E54"/>
    <w:rsid w:val="00255628"/>
    <w:rsid w:val="0028596A"/>
    <w:rsid w:val="002A0251"/>
    <w:rsid w:val="002A2515"/>
    <w:rsid w:val="002A393A"/>
    <w:rsid w:val="002A52F0"/>
    <w:rsid w:val="002B26F0"/>
    <w:rsid w:val="002B5ED2"/>
    <w:rsid w:val="002C33C9"/>
    <w:rsid w:val="002D7248"/>
    <w:rsid w:val="002E1332"/>
    <w:rsid w:val="002E36FF"/>
    <w:rsid w:val="002E6360"/>
    <w:rsid w:val="002F1403"/>
    <w:rsid w:val="003040F3"/>
    <w:rsid w:val="003067E7"/>
    <w:rsid w:val="0030781C"/>
    <w:rsid w:val="00314738"/>
    <w:rsid w:val="00315A75"/>
    <w:rsid w:val="00323989"/>
    <w:rsid w:val="003336A3"/>
    <w:rsid w:val="00335C8A"/>
    <w:rsid w:val="00357A94"/>
    <w:rsid w:val="0036562F"/>
    <w:rsid w:val="00366907"/>
    <w:rsid w:val="00375A49"/>
    <w:rsid w:val="003810A1"/>
    <w:rsid w:val="003817F4"/>
    <w:rsid w:val="00395F92"/>
    <w:rsid w:val="003A158A"/>
    <w:rsid w:val="003B41F0"/>
    <w:rsid w:val="003B4EEA"/>
    <w:rsid w:val="003B5598"/>
    <w:rsid w:val="003B64CC"/>
    <w:rsid w:val="003C25A9"/>
    <w:rsid w:val="003C25C8"/>
    <w:rsid w:val="003C4F57"/>
    <w:rsid w:val="003C6838"/>
    <w:rsid w:val="003D4B3E"/>
    <w:rsid w:val="003D6880"/>
    <w:rsid w:val="003F130F"/>
    <w:rsid w:val="003F6FEF"/>
    <w:rsid w:val="004028A2"/>
    <w:rsid w:val="0041199A"/>
    <w:rsid w:val="0041241E"/>
    <w:rsid w:val="004310DC"/>
    <w:rsid w:val="0043416A"/>
    <w:rsid w:val="00440D83"/>
    <w:rsid w:val="0044435C"/>
    <w:rsid w:val="0045104F"/>
    <w:rsid w:val="004572D1"/>
    <w:rsid w:val="004611F4"/>
    <w:rsid w:val="0046484D"/>
    <w:rsid w:val="00466779"/>
    <w:rsid w:val="0047132E"/>
    <w:rsid w:val="00492C82"/>
    <w:rsid w:val="00494287"/>
    <w:rsid w:val="00495F8C"/>
    <w:rsid w:val="0049781C"/>
    <w:rsid w:val="004B0710"/>
    <w:rsid w:val="004C3EBB"/>
    <w:rsid w:val="004C6E19"/>
    <w:rsid w:val="004E48B8"/>
    <w:rsid w:val="004F5E54"/>
    <w:rsid w:val="004F758C"/>
    <w:rsid w:val="00505A13"/>
    <w:rsid w:val="00514ED0"/>
    <w:rsid w:val="00525852"/>
    <w:rsid w:val="0053451E"/>
    <w:rsid w:val="00546D54"/>
    <w:rsid w:val="00552548"/>
    <w:rsid w:val="00561D88"/>
    <w:rsid w:val="005777E8"/>
    <w:rsid w:val="005906A7"/>
    <w:rsid w:val="00590784"/>
    <w:rsid w:val="005922BA"/>
    <w:rsid w:val="0059306A"/>
    <w:rsid w:val="005C67FB"/>
    <w:rsid w:val="005D322F"/>
    <w:rsid w:val="005F622B"/>
    <w:rsid w:val="005F68D6"/>
    <w:rsid w:val="006042D4"/>
    <w:rsid w:val="006071F1"/>
    <w:rsid w:val="00614620"/>
    <w:rsid w:val="00617B79"/>
    <w:rsid w:val="00624500"/>
    <w:rsid w:val="00632AD2"/>
    <w:rsid w:val="0063460D"/>
    <w:rsid w:val="0064084C"/>
    <w:rsid w:val="00644AE7"/>
    <w:rsid w:val="00654465"/>
    <w:rsid w:val="00655FC1"/>
    <w:rsid w:val="006660E6"/>
    <w:rsid w:val="00680FB5"/>
    <w:rsid w:val="00682671"/>
    <w:rsid w:val="0068368F"/>
    <w:rsid w:val="0068642E"/>
    <w:rsid w:val="006A0B9B"/>
    <w:rsid w:val="006A4D31"/>
    <w:rsid w:val="006C4FAB"/>
    <w:rsid w:val="006C6485"/>
    <w:rsid w:val="006C7DCE"/>
    <w:rsid w:val="006D720B"/>
    <w:rsid w:val="006E3E84"/>
    <w:rsid w:val="006F61B0"/>
    <w:rsid w:val="00700C98"/>
    <w:rsid w:val="00704349"/>
    <w:rsid w:val="00710435"/>
    <w:rsid w:val="00714BC8"/>
    <w:rsid w:val="00731419"/>
    <w:rsid w:val="00732056"/>
    <w:rsid w:val="00734C86"/>
    <w:rsid w:val="007354F4"/>
    <w:rsid w:val="007412F8"/>
    <w:rsid w:val="007466F1"/>
    <w:rsid w:val="00747A1B"/>
    <w:rsid w:val="00753C4C"/>
    <w:rsid w:val="00763D7E"/>
    <w:rsid w:val="0076551F"/>
    <w:rsid w:val="00771C73"/>
    <w:rsid w:val="007732D8"/>
    <w:rsid w:val="00792D22"/>
    <w:rsid w:val="00794807"/>
    <w:rsid w:val="007A712B"/>
    <w:rsid w:val="007B1EAE"/>
    <w:rsid w:val="007C129B"/>
    <w:rsid w:val="007E0DAA"/>
    <w:rsid w:val="007E4592"/>
    <w:rsid w:val="007F0C87"/>
    <w:rsid w:val="00801EB1"/>
    <w:rsid w:val="00810C3E"/>
    <w:rsid w:val="0081249E"/>
    <w:rsid w:val="00814343"/>
    <w:rsid w:val="008171A7"/>
    <w:rsid w:val="00840941"/>
    <w:rsid w:val="00840E44"/>
    <w:rsid w:val="008464E3"/>
    <w:rsid w:val="0085469C"/>
    <w:rsid w:val="00855C98"/>
    <w:rsid w:val="00857073"/>
    <w:rsid w:val="00861044"/>
    <w:rsid w:val="008653CD"/>
    <w:rsid w:val="00885529"/>
    <w:rsid w:val="00891C5C"/>
    <w:rsid w:val="008A2449"/>
    <w:rsid w:val="008B25F4"/>
    <w:rsid w:val="008C2406"/>
    <w:rsid w:val="008C72FF"/>
    <w:rsid w:val="008D464C"/>
    <w:rsid w:val="008D499A"/>
    <w:rsid w:val="008D7813"/>
    <w:rsid w:val="008F0E2D"/>
    <w:rsid w:val="009014BF"/>
    <w:rsid w:val="009044FB"/>
    <w:rsid w:val="0090564C"/>
    <w:rsid w:val="00911B82"/>
    <w:rsid w:val="00925FE7"/>
    <w:rsid w:val="009317C7"/>
    <w:rsid w:val="00935EF0"/>
    <w:rsid w:val="00955E81"/>
    <w:rsid w:val="00966F70"/>
    <w:rsid w:val="009858CD"/>
    <w:rsid w:val="0099196B"/>
    <w:rsid w:val="009929C2"/>
    <w:rsid w:val="009930DE"/>
    <w:rsid w:val="00993BDF"/>
    <w:rsid w:val="009A3676"/>
    <w:rsid w:val="009A7B57"/>
    <w:rsid w:val="009B57B4"/>
    <w:rsid w:val="009C46F9"/>
    <w:rsid w:val="009C65EF"/>
    <w:rsid w:val="009D2943"/>
    <w:rsid w:val="009D2D39"/>
    <w:rsid w:val="009D3ED5"/>
    <w:rsid w:val="009D41BD"/>
    <w:rsid w:val="009E2307"/>
    <w:rsid w:val="009E3F74"/>
    <w:rsid w:val="009E5EB1"/>
    <w:rsid w:val="009F4BE7"/>
    <w:rsid w:val="00A149DF"/>
    <w:rsid w:val="00A225BB"/>
    <w:rsid w:val="00A24A6A"/>
    <w:rsid w:val="00A3573E"/>
    <w:rsid w:val="00A35D15"/>
    <w:rsid w:val="00A5417E"/>
    <w:rsid w:val="00A85CDE"/>
    <w:rsid w:val="00A86F14"/>
    <w:rsid w:val="00AA5F74"/>
    <w:rsid w:val="00AB1DE6"/>
    <w:rsid w:val="00AB1EBA"/>
    <w:rsid w:val="00AC4B3C"/>
    <w:rsid w:val="00AC6CFE"/>
    <w:rsid w:val="00AD1344"/>
    <w:rsid w:val="00AE5F3D"/>
    <w:rsid w:val="00AF2FA2"/>
    <w:rsid w:val="00B03868"/>
    <w:rsid w:val="00B06778"/>
    <w:rsid w:val="00B378D4"/>
    <w:rsid w:val="00B45F8B"/>
    <w:rsid w:val="00B50D7A"/>
    <w:rsid w:val="00B5239A"/>
    <w:rsid w:val="00B5714C"/>
    <w:rsid w:val="00B60EB3"/>
    <w:rsid w:val="00B861BF"/>
    <w:rsid w:val="00B8626D"/>
    <w:rsid w:val="00B866D7"/>
    <w:rsid w:val="00BA17AF"/>
    <w:rsid w:val="00BA7C44"/>
    <w:rsid w:val="00BB0B81"/>
    <w:rsid w:val="00BB25CD"/>
    <w:rsid w:val="00BD183B"/>
    <w:rsid w:val="00BE378C"/>
    <w:rsid w:val="00BF426F"/>
    <w:rsid w:val="00BF4E80"/>
    <w:rsid w:val="00BF7A3C"/>
    <w:rsid w:val="00C01F80"/>
    <w:rsid w:val="00C13332"/>
    <w:rsid w:val="00C238B9"/>
    <w:rsid w:val="00C370ED"/>
    <w:rsid w:val="00C46AD3"/>
    <w:rsid w:val="00C509EF"/>
    <w:rsid w:val="00C562AE"/>
    <w:rsid w:val="00C60D9C"/>
    <w:rsid w:val="00C67CEA"/>
    <w:rsid w:val="00C713FB"/>
    <w:rsid w:val="00C73888"/>
    <w:rsid w:val="00C76106"/>
    <w:rsid w:val="00C7653D"/>
    <w:rsid w:val="00C97108"/>
    <w:rsid w:val="00CA1E2D"/>
    <w:rsid w:val="00CA3B0A"/>
    <w:rsid w:val="00CB56BD"/>
    <w:rsid w:val="00CB6127"/>
    <w:rsid w:val="00CD4F38"/>
    <w:rsid w:val="00CE5F8C"/>
    <w:rsid w:val="00CE7915"/>
    <w:rsid w:val="00CF39A7"/>
    <w:rsid w:val="00D15E9E"/>
    <w:rsid w:val="00D16E12"/>
    <w:rsid w:val="00D365CD"/>
    <w:rsid w:val="00D468A6"/>
    <w:rsid w:val="00D511E3"/>
    <w:rsid w:val="00D5171C"/>
    <w:rsid w:val="00D541B7"/>
    <w:rsid w:val="00D60835"/>
    <w:rsid w:val="00D62D35"/>
    <w:rsid w:val="00D80508"/>
    <w:rsid w:val="00D86A02"/>
    <w:rsid w:val="00D904E3"/>
    <w:rsid w:val="00D95053"/>
    <w:rsid w:val="00D977B3"/>
    <w:rsid w:val="00DC0BF1"/>
    <w:rsid w:val="00DC41A3"/>
    <w:rsid w:val="00DD199E"/>
    <w:rsid w:val="00DD7465"/>
    <w:rsid w:val="00DF592E"/>
    <w:rsid w:val="00E02607"/>
    <w:rsid w:val="00E04C17"/>
    <w:rsid w:val="00E07FF6"/>
    <w:rsid w:val="00E12EC3"/>
    <w:rsid w:val="00E23E8D"/>
    <w:rsid w:val="00E34475"/>
    <w:rsid w:val="00E35337"/>
    <w:rsid w:val="00E459ED"/>
    <w:rsid w:val="00E56B9C"/>
    <w:rsid w:val="00E60EC5"/>
    <w:rsid w:val="00E75095"/>
    <w:rsid w:val="00E769E3"/>
    <w:rsid w:val="00E83A5C"/>
    <w:rsid w:val="00E948EF"/>
    <w:rsid w:val="00EA0A62"/>
    <w:rsid w:val="00EA0E9F"/>
    <w:rsid w:val="00EA411F"/>
    <w:rsid w:val="00EA5FB5"/>
    <w:rsid w:val="00EB7C9D"/>
    <w:rsid w:val="00EC2ED4"/>
    <w:rsid w:val="00EC56F7"/>
    <w:rsid w:val="00ED10C8"/>
    <w:rsid w:val="00ED7FB7"/>
    <w:rsid w:val="00EE126A"/>
    <w:rsid w:val="00EF1E23"/>
    <w:rsid w:val="00F07B93"/>
    <w:rsid w:val="00F16D80"/>
    <w:rsid w:val="00F23C29"/>
    <w:rsid w:val="00F257B4"/>
    <w:rsid w:val="00F30449"/>
    <w:rsid w:val="00F34A10"/>
    <w:rsid w:val="00F34A2F"/>
    <w:rsid w:val="00F448AA"/>
    <w:rsid w:val="00F54DA9"/>
    <w:rsid w:val="00F65621"/>
    <w:rsid w:val="00F660A7"/>
    <w:rsid w:val="00F827FB"/>
    <w:rsid w:val="00F914B7"/>
    <w:rsid w:val="00F95BFD"/>
    <w:rsid w:val="00F9691A"/>
    <w:rsid w:val="00FA58A8"/>
    <w:rsid w:val="00FB0043"/>
    <w:rsid w:val="00FB72FB"/>
    <w:rsid w:val="00FD13AA"/>
    <w:rsid w:val="00FE247B"/>
    <w:rsid w:val="00FE2733"/>
    <w:rsid w:val="00FE6163"/>
    <w:rsid w:val="00FF0B70"/>
    <w:rsid w:val="00FF48C1"/>
    <w:rsid w:val="06FDBCBA"/>
    <w:rsid w:val="0EFF08BB"/>
    <w:rsid w:val="0FEF248D"/>
    <w:rsid w:val="0FF33F9A"/>
    <w:rsid w:val="13DF7AB3"/>
    <w:rsid w:val="15FE191F"/>
    <w:rsid w:val="1B4D74A3"/>
    <w:rsid w:val="1BBEA412"/>
    <w:rsid w:val="1BEF28D7"/>
    <w:rsid w:val="1CAC83B0"/>
    <w:rsid w:val="1E5D5026"/>
    <w:rsid w:val="1E7F471D"/>
    <w:rsid w:val="1F7598D0"/>
    <w:rsid w:val="1F84EC13"/>
    <w:rsid w:val="1FBFEAAE"/>
    <w:rsid w:val="1FDB19EE"/>
    <w:rsid w:val="1FDFEA59"/>
    <w:rsid w:val="1FF2786B"/>
    <w:rsid w:val="1FF5A34F"/>
    <w:rsid w:val="21F338F1"/>
    <w:rsid w:val="24F7DD41"/>
    <w:rsid w:val="2753038A"/>
    <w:rsid w:val="29FAD1FD"/>
    <w:rsid w:val="2B7F23AD"/>
    <w:rsid w:val="2B9D6755"/>
    <w:rsid w:val="2DDF91DF"/>
    <w:rsid w:val="2F3BDEA1"/>
    <w:rsid w:val="2F7BF1A3"/>
    <w:rsid w:val="2FEB685A"/>
    <w:rsid w:val="337E22EA"/>
    <w:rsid w:val="34DFEB7D"/>
    <w:rsid w:val="34EEFB1F"/>
    <w:rsid w:val="34FB45D9"/>
    <w:rsid w:val="354F83F2"/>
    <w:rsid w:val="35D39D3E"/>
    <w:rsid w:val="36B7A45A"/>
    <w:rsid w:val="36BB84E4"/>
    <w:rsid w:val="37F80854"/>
    <w:rsid w:val="37FC62D4"/>
    <w:rsid w:val="3B5F0C57"/>
    <w:rsid w:val="3B5F1876"/>
    <w:rsid w:val="3B9FC5D6"/>
    <w:rsid w:val="3BBFA214"/>
    <w:rsid w:val="3BEBF083"/>
    <w:rsid w:val="3CBF643B"/>
    <w:rsid w:val="3CDF5C0B"/>
    <w:rsid w:val="3CFF8260"/>
    <w:rsid w:val="3DEF3180"/>
    <w:rsid w:val="3EAF9B39"/>
    <w:rsid w:val="3EF756F2"/>
    <w:rsid w:val="3F259634"/>
    <w:rsid w:val="3F4D101E"/>
    <w:rsid w:val="3F7CC40C"/>
    <w:rsid w:val="3FB760C2"/>
    <w:rsid w:val="3FBB29E4"/>
    <w:rsid w:val="3FBD4DB5"/>
    <w:rsid w:val="3FF2B53D"/>
    <w:rsid w:val="3FFF5A0A"/>
    <w:rsid w:val="46F57AF1"/>
    <w:rsid w:val="4A6E9222"/>
    <w:rsid w:val="4A77330F"/>
    <w:rsid w:val="4AFA9EC6"/>
    <w:rsid w:val="4AFFF6C6"/>
    <w:rsid w:val="4CFF883C"/>
    <w:rsid w:val="4D9FAB49"/>
    <w:rsid w:val="4DB7E23A"/>
    <w:rsid w:val="4DDCBA94"/>
    <w:rsid w:val="4F37F742"/>
    <w:rsid w:val="4FBF6447"/>
    <w:rsid w:val="4FEFC245"/>
    <w:rsid w:val="53B20562"/>
    <w:rsid w:val="53BE87D9"/>
    <w:rsid w:val="54BEE5F3"/>
    <w:rsid w:val="563E9BC2"/>
    <w:rsid w:val="5677D1CE"/>
    <w:rsid w:val="57A7141F"/>
    <w:rsid w:val="57DF32B0"/>
    <w:rsid w:val="57ED032E"/>
    <w:rsid w:val="57FFEC94"/>
    <w:rsid w:val="5AFF880D"/>
    <w:rsid w:val="5B75C92B"/>
    <w:rsid w:val="5BDF4761"/>
    <w:rsid w:val="5BFD2F5A"/>
    <w:rsid w:val="5BFFE774"/>
    <w:rsid w:val="5CFFC6D4"/>
    <w:rsid w:val="5D1F3785"/>
    <w:rsid w:val="5D3B2991"/>
    <w:rsid w:val="5D3D63F8"/>
    <w:rsid w:val="5D7D2BDC"/>
    <w:rsid w:val="5DEBF8EA"/>
    <w:rsid w:val="5DEFE65D"/>
    <w:rsid w:val="5DFF8FCF"/>
    <w:rsid w:val="5E7685EA"/>
    <w:rsid w:val="5E7F6BFC"/>
    <w:rsid w:val="5EBB7972"/>
    <w:rsid w:val="5EDF51FF"/>
    <w:rsid w:val="5EF2A72D"/>
    <w:rsid w:val="5F155AAF"/>
    <w:rsid w:val="5FD78026"/>
    <w:rsid w:val="5FD996F7"/>
    <w:rsid w:val="5FEB945A"/>
    <w:rsid w:val="617FBBCF"/>
    <w:rsid w:val="635AA4E6"/>
    <w:rsid w:val="63DF68BA"/>
    <w:rsid w:val="64B7D52F"/>
    <w:rsid w:val="658C6239"/>
    <w:rsid w:val="65ECF159"/>
    <w:rsid w:val="66FA3FA8"/>
    <w:rsid w:val="69F0CAE6"/>
    <w:rsid w:val="6A5730B2"/>
    <w:rsid w:val="6BFB709D"/>
    <w:rsid w:val="6BFCF477"/>
    <w:rsid w:val="6BFE5E55"/>
    <w:rsid w:val="6BFF3634"/>
    <w:rsid w:val="6BFF3AB0"/>
    <w:rsid w:val="6BFFB76D"/>
    <w:rsid w:val="6D1EFE4F"/>
    <w:rsid w:val="6D5BD14C"/>
    <w:rsid w:val="6D7B5004"/>
    <w:rsid w:val="6D96381B"/>
    <w:rsid w:val="6DFF232D"/>
    <w:rsid w:val="6E5E4D04"/>
    <w:rsid w:val="6E7F01A8"/>
    <w:rsid w:val="6EBF21C6"/>
    <w:rsid w:val="6EDF1FE9"/>
    <w:rsid w:val="6EFE4E6B"/>
    <w:rsid w:val="6EFEEE32"/>
    <w:rsid w:val="6F2D3347"/>
    <w:rsid w:val="6F3CFE2D"/>
    <w:rsid w:val="6F6C4A06"/>
    <w:rsid w:val="6F779EEF"/>
    <w:rsid w:val="6F7BAAD9"/>
    <w:rsid w:val="6F7F4035"/>
    <w:rsid w:val="6F7F7646"/>
    <w:rsid w:val="6FAFC76B"/>
    <w:rsid w:val="6FBF719D"/>
    <w:rsid w:val="6FD97DBF"/>
    <w:rsid w:val="6FDA6AFC"/>
    <w:rsid w:val="6FDD295E"/>
    <w:rsid w:val="6FDF61A6"/>
    <w:rsid w:val="6FDFC363"/>
    <w:rsid w:val="6FF107A7"/>
    <w:rsid w:val="6FF5BF9A"/>
    <w:rsid w:val="6FF7BAD2"/>
    <w:rsid w:val="6FFE4495"/>
    <w:rsid w:val="6FFF6908"/>
    <w:rsid w:val="6FFFF8D4"/>
    <w:rsid w:val="70BFB491"/>
    <w:rsid w:val="71F7858B"/>
    <w:rsid w:val="72774CB0"/>
    <w:rsid w:val="72FD7CFC"/>
    <w:rsid w:val="72FFF92E"/>
    <w:rsid w:val="731F117A"/>
    <w:rsid w:val="73FFAA78"/>
    <w:rsid w:val="74BEDFEF"/>
    <w:rsid w:val="753D4A09"/>
    <w:rsid w:val="756F6C80"/>
    <w:rsid w:val="75F91AE3"/>
    <w:rsid w:val="75FF7E96"/>
    <w:rsid w:val="767F8C24"/>
    <w:rsid w:val="76BF1CB0"/>
    <w:rsid w:val="777BC820"/>
    <w:rsid w:val="779F37FF"/>
    <w:rsid w:val="77E59795"/>
    <w:rsid w:val="77F70E51"/>
    <w:rsid w:val="77FB161B"/>
    <w:rsid w:val="77FC64F7"/>
    <w:rsid w:val="77FE1F60"/>
    <w:rsid w:val="78FB1F9B"/>
    <w:rsid w:val="79DF7011"/>
    <w:rsid w:val="79F6314D"/>
    <w:rsid w:val="7AC59D7F"/>
    <w:rsid w:val="7ADD480D"/>
    <w:rsid w:val="7AF70A2F"/>
    <w:rsid w:val="7AFF5CBF"/>
    <w:rsid w:val="7B2B34A5"/>
    <w:rsid w:val="7B3D6B20"/>
    <w:rsid w:val="7B3DFBE0"/>
    <w:rsid w:val="7B6FF5C2"/>
    <w:rsid w:val="7B8D98C6"/>
    <w:rsid w:val="7BADC024"/>
    <w:rsid w:val="7BBC88BF"/>
    <w:rsid w:val="7BD2605F"/>
    <w:rsid w:val="7BEFEC66"/>
    <w:rsid w:val="7BF3F576"/>
    <w:rsid w:val="7BF7E644"/>
    <w:rsid w:val="7C6EC321"/>
    <w:rsid w:val="7CE5FFC8"/>
    <w:rsid w:val="7D0B16F7"/>
    <w:rsid w:val="7D1F8712"/>
    <w:rsid w:val="7D3F23B8"/>
    <w:rsid w:val="7D4C9508"/>
    <w:rsid w:val="7D5F2160"/>
    <w:rsid w:val="7D65D0AF"/>
    <w:rsid w:val="7D6F90A8"/>
    <w:rsid w:val="7D7B9138"/>
    <w:rsid w:val="7DBC486E"/>
    <w:rsid w:val="7DFD3365"/>
    <w:rsid w:val="7DFF36CF"/>
    <w:rsid w:val="7DFFF9AC"/>
    <w:rsid w:val="7E777E82"/>
    <w:rsid w:val="7E77CFE8"/>
    <w:rsid w:val="7E7EE7EA"/>
    <w:rsid w:val="7E9C45B7"/>
    <w:rsid w:val="7EED81B6"/>
    <w:rsid w:val="7EFDF257"/>
    <w:rsid w:val="7EFF9308"/>
    <w:rsid w:val="7EFFF88C"/>
    <w:rsid w:val="7F3F26EC"/>
    <w:rsid w:val="7F7E1CC0"/>
    <w:rsid w:val="7F7EEF55"/>
    <w:rsid w:val="7F7F74DC"/>
    <w:rsid w:val="7FAB6F7E"/>
    <w:rsid w:val="7FB9553D"/>
    <w:rsid w:val="7FBBF0B5"/>
    <w:rsid w:val="7FBFD8B8"/>
    <w:rsid w:val="7FD321ED"/>
    <w:rsid w:val="7FD7D1BC"/>
    <w:rsid w:val="7FDD40CE"/>
    <w:rsid w:val="7FDD6DE7"/>
    <w:rsid w:val="7FDF0269"/>
    <w:rsid w:val="7FDF048B"/>
    <w:rsid w:val="7FDF128D"/>
    <w:rsid w:val="7FE7592D"/>
    <w:rsid w:val="7FED10FF"/>
    <w:rsid w:val="7FF5C37B"/>
    <w:rsid w:val="7FFC4135"/>
    <w:rsid w:val="7FFD1DEB"/>
    <w:rsid w:val="7FFDF405"/>
    <w:rsid w:val="7FFF3BF4"/>
    <w:rsid w:val="7FFF7078"/>
    <w:rsid w:val="7FFFE828"/>
    <w:rsid w:val="7FFFF8B3"/>
    <w:rsid w:val="86FFD4CF"/>
    <w:rsid w:val="87BA0C09"/>
    <w:rsid w:val="8FBFEAE7"/>
    <w:rsid w:val="8FEB9323"/>
    <w:rsid w:val="91FE3057"/>
    <w:rsid w:val="972F188C"/>
    <w:rsid w:val="977C7D89"/>
    <w:rsid w:val="9BBFB414"/>
    <w:rsid w:val="9E36F7ED"/>
    <w:rsid w:val="9EBE4DE2"/>
    <w:rsid w:val="9EC3B7DB"/>
    <w:rsid w:val="9FD30DD1"/>
    <w:rsid w:val="9FEF7146"/>
    <w:rsid w:val="A73F71C4"/>
    <w:rsid w:val="A76D3062"/>
    <w:rsid w:val="A9130114"/>
    <w:rsid w:val="A93F4ACE"/>
    <w:rsid w:val="AB27FBF1"/>
    <w:rsid w:val="ABFFC842"/>
    <w:rsid w:val="AD5CCC90"/>
    <w:rsid w:val="AE7F21D4"/>
    <w:rsid w:val="AF2D2C40"/>
    <w:rsid w:val="AFBF0F44"/>
    <w:rsid w:val="AFBF1C92"/>
    <w:rsid w:val="AFBFCF6A"/>
    <w:rsid w:val="AFDF3A59"/>
    <w:rsid w:val="AFEDCB01"/>
    <w:rsid w:val="B17FA116"/>
    <w:rsid w:val="B2FDE166"/>
    <w:rsid w:val="B4FFC351"/>
    <w:rsid w:val="B6BF52DB"/>
    <w:rsid w:val="B796AA2F"/>
    <w:rsid w:val="B7FD62B2"/>
    <w:rsid w:val="B7FF4AA9"/>
    <w:rsid w:val="B99F859E"/>
    <w:rsid w:val="BB7F57D6"/>
    <w:rsid w:val="BBAD14A5"/>
    <w:rsid w:val="BBD8AE46"/>
    <w:rsid w:val="BBF58ED4"/>
    <w:rsid w:val="BBFF85D4"/>
    <w:rsid w:val="BD3FE547"/>
    <w:rsid w:val="BDE9834E"/>
    <w:rsid w:val="BE3ED9E7"/>
    <w:rsid w:val="BE779A40"/>
    <w:rsid w:val="BEDF1292"/>
    <w:rsid w:val="BEE7F022"/>
    <w:rsid w:val="BEFB383F"/>
    <w:rsid w:val="BEFC6CF4"/>
    <w:rsid w:val="BEFF2482"/>
    <w:rsid w:val="BF3F10A4"/>
    <w:rsid w:val="BF973578"/>
    <w:rsid w:val="BFA74FCB"/>
    <w:rsid w:val="BFE30B73"/>
    <w:rsid w:val="BFE532F4"/>
    <w:rsid w:val="BFF575E9"/>
    <w:rsid w:val="BFFA310A"/>
    <w:rsid w:val="BFFFB8FC"/>
    <w:rsid w:val="C6FFFD57"/>
    <w:rsid w:val="C7E95E4F"/>
    <w:rsid w:val="C8C25026"/>
    <w:rsid w:val="CDE7A3A4"/>
    <w:rsid w:val="CE4F6D09"/>
    <w:rsid w:val="CEFC44BE"/>
    <w:rsid w:val="CF4D6E04"/>
    <w:rsid w:val="CF7903AD"/>
    <w:rsid w:val="CFAE7096"/>
    <w:rsid w:val="CFF768AB"/>
    <w:rsid w:val="D1B36674"/>
    <w:rsid w:val="D33EB803"/>
    <w:rsid w:val="D3BCEF58"/>
    <w:rsid w:val="D55DCD4C"/>
    <w:rsid w:val="D5EFA069"/>
    <w:rsid w:val="D5F71A0B"/>
    <w:rsid w:val="D67D5629"/>
    <w:rsid w:val="D7B67001"/>
    <w:rsid w:val="D7D6407F"/>
    <w:rsid w:val="D97ECE22"/>
    <w:rsid w:val="D9BE9E48"/>
    <w:rsid w:val="DA6F2908"/>
    <w:rsid w:val="DAB63EED"/>
    <w:rsid w:val="DB0F9E18"/>
    <w:rsid w:val="DB4E5DEB"/>
    <w:rsid w:val="DB4EACDF"/>
    <w:rsid w:val="DB7BBF9D"/>
    <w:rsid w:val="DB7F7A68"/>
    <w:rsid w:val="DBFF0FFD"/>
    <w:rsid w:val="DC7A3563"/>
    <w:rsid w:val="DDFBBF26"/>
    <w:rsid w:val="DE6A4032"/>
    <w:rsid w:val="DEAFA577"/>
    <w:rsid w:val="DEDF96C4"/>
    <w:rsid w:val="DF3058A7"/>
    <w:rsid w:val="DF5F5DB5"/>
    <w:rsid w:val="DF7BB33A"/>
    <w:rsid w:val="DFEA76EB"/>
    <w:rsid w:val="DFEFACA5"/>
    <w:rsid w:val="DFF56D66"/>
    <w:rsid w:val="DFF681E4"/>
    <w:rsid w:val="DFF7A585"/>
    <w:rsid w:val="DFFBB588"/>
    <w:rsid w:val="DFFDFD03"/>
    <w:rsid w:val="DFFEF3F7"/>
    <w:rsid w:val="E3DFB858"/>
    <w:rsid w:val="E3F9AD74"/>
    <w:rsid w:val="E6AC166F"/>
    <w:rsid w:val="E75B97A0"/>
    <w:rsid w:val="E7F58542"/>
    <w:rsid w:val="E7F74A98"/>
    <w:rsid w:val="E9DFBFD6"/>
    <w:rsid w:val="E9DFF846"/>
    <w:rsid w:val="EA3FF3D7"/>
    <w:rsid w:val="EAFF7C7D"/>
    <w:rsid w:val="EBBFBBDA"/>
    <w:rsid w:val="EBDF46AA"/>
    <w:rsid w:val="EBDF6C55"/>
    <w:rsid w:val="EBEE74B9"/>
    <w:rsid w:val="EC5D0C7A"/>
    <w:rsid w:val="EC7D3853"/>
    <w:rsid w:val="ECFB034D"/>
    <w:rsid w:val="ED7FB6BC"/>
    <w:rsid w:val="EDB758DD"/>
    <w:rsid w:val="EDBCEADD"/>
    <w:rsid w:val="EDBD699D"/>
    <w:rsid w:val="EDFB5858"/>
    <w:rsid w:val="EED91291"/>
    <w:rsid w:val="EF8DF232"/>
    <w:rsid w:val="EF9F961E"/>
    <w:rsid w:val="EFBDDA25"/>
    <w:rsid w:val="EFBF133B"/>
    <w:rsid w:val="EFF4A664"/>
    <w:rsid w:val="EFF7E9B6"/>
    <w:rsid w:val="EFFAAAFC"/>
    <w:rsid w:val="EFFDDC75"/>
    <w:rsid w:val="EFFDE42E"/>
    <w:rsid w:val="EFFFB724"/>
    <w:rsid w:val="F26F23FA"/>
    <w:rsid w:val="F2B7DA64"/>
    <w:rsid w:val="F2C5BA83"/>
    <w:rsid w:val="F2EF7401"/>
    <w:rsid w:val="F33CA683"/>
    <w:rsid w:val="F3BD7D75"/>
    <w:rsid w:val="F3DAC924"/>
    <w:rsid w:val="F4DD0798"/>
    <w:rsid w:val="F57DBB57"/>
    <w:rsid w:val="F5BB4A85"/>
    <w:rsid w:val="F5BFA699"/>
    <w:rsid w:val="F5BFB261"/>
    <w:rsid w:val="F5F65367"/>
    <w:rsid w:val="F6D518FE"/>
    <w:rsid w:val="F6EE58BF"/>
    <w:rsid w:val="F6F4F5F3"/>
    <w:rsid w:val="F73E3542"/>
    <w:rsid w:val="F74305A1"/>
    <w:rsid w:val="F77DD77C"/>
    <w:rsid w:val="F79FCDEC"/>
    <w:rsid w:val="F7AFCFF9"/>
    <w:rsid w:val="F7BE3305"/>
    <w:rsid w:val="F7BF4CB4"/>
    <w:rsid w:val="F7BF82D5"/>
    <w:rsid w:val="F7D30826"/>
    <w:rsid w:val="F7D5DDD7"/>
    <w:rsid w:val="F7E600E8"/>
    <w:rsid w:val="F7EF6601"/>
    <w:rsid w:val="F7F77EB0"/>
    <w:rsid w:val="F7F9F64C"/>
    <w:rsid w:val="F7FB98CE"/>
    <w:rsid w:val="F7FDB212"/>
    <w:rsid w:val="F87B2C24"/>
    <w:rsid w:val="F9CB445F"/>
    <w:rsid w:val="F9D72193"/>
    <w:rsid w:val="F9D76573"/>
    <w:rsid w:val="F9FB1DEE"/>
    <w:rsid w:val="FA7F5860"/>
    <w:rsid w:val="FABF6ADB"/>
    <w:rsid w:val="FABF8A81"/>
    <w:rsid w:val="FABFB3CE"/>
    <w:rsid w:val="FAFF92F2"/>
    <w:rsid w:val="FBA7FD62"/>
    <w:rsid w:val="FBEBE877"/>
    <w:rsid w:val="FBEE3863"/>
    <w:rsid w:val="FBEF6A6F"/>
    <w:rsid w:val="FBF5283E"/>
    <w:rsid w:val="FBF90CBC"/>
    <w:rsid w:val="FBFD7416"/>
    <w:rsid w:val="FBFF59D0"/>
    <w:rsid w:val="FBFFC031"/>
    <w:rsid w:val="FC5556AC"/>
    <w:rsid w:val="FC77B8A2"/>
    <w:rsid w:val="FC7972E1"/>
    <w:rsid w:val="FC79A2E8"/>
    <w:rsid w:val="FCCDA557"/>
    <w:rsid w:val="FCFED3E8"/>
    <w:rsid w:val="FCFEF6D0"/>
    <w:rsid w:val="FCFF54FE"/>
    <w:rsid w:val="FD9B4893"/>
    <w:rsid w:val="FDAFC30A"/>
    <w:rsid w:val="FDB94E5D"/>
    <w:rsid w:val="FDBF3788"/>
    <w:rsid w:val="FDDF8833"/>
    <w:rsid w:val="FDDFA21D"/>
    <w:rsid w:val="FDEEABB2"/>
    <w:rsid w:val="FDEFAF8E"/>
    <w:rsid w:val="FDF7C5D4"/>
    <w:rsid w:val="FDF7F72C"/>
    <w:rsid w:val="FDFDA1E2"/>
    <w:rsid w:val="FDFF2A01"/>
    <w:rsid w:val="FDFF32C0"/>
    <w:rsid w:val="FE5F8012"/>
    <w:rsid w:val="FE77B01C"/>
    <w:rsid w:val="FED4B2CF"/>
    <w:rsid w:val="FEFB2921"/>
    <w:rsid w:val="FEFF8981"/>
    <w:rsid w:val="FF35DA8E"/>
    <w:rsid w:val="FF5E1C82"/>
    <w:rsid w:val="FF6FA9C2"/>
    <w:rsid w:val="FF7BB1EB"/>
    <w:rsid w:val="FF7F16F8"/>
    <w:rsid w:val="FF7F5D58"/>
    <w:rsid w:val="FF8D4900"/>
    <w:rsid w:val="FF9E4FBC"/>
    <w:rsid w:val="FFAF50D5"/>
    <w:rsid w:val="FFBF4C70"/>
    <w:rsid w:val="FFBFA3E6"/>
    <w:rsid w:val="FFC45482"/>
    <w:rsid w:val="FFCAF3E7"/>
    <w:rsid w:val="FFD9D0B1"/>
    <w:rsid w:val="FFDABC9F"/>
    <w:rsid w:val="FFDB948F"/>
    <w:rsid w:val="FFDFC233"/>
    <w:rsid w:val="FFEBB7CF"/>
    <w:rsid w:val="FFF1D3E6"/>
    <w:rsid w:val="FFF4547E"/>
    <w:rsid w:val="FFF62339"/>
    <w:rsid w:val="FFF8666B"/>
    <w:rsid w:val="FFF96272"/>
    <w:rsid w:val="FFFB1CE3"/>
    <w:rsid w:val="FFFC2FC8"/>
    <w:rsid w:val="FFFD5C57"/>
    <w:rsid w:val="FFFD5D65"/>
    <w:rsid w:val="FFFE8A1C"/>
    <w:rsid w:val="FFFF40A8"/>
    <w:rsid w:val="FFFF757F"/>
    <w:rsid w:val="FFFF79F6"/>
    <w:rsid w:val="FFFF9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jc w:val="left"/>
    </w:pPr>
    <w:rPr>
      <w:color w:val="000000"/>
      <w:kern w:val="0"/>
      <w:sz w:val="24"/>
    </w:r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0"/>
    <w:pPr>
      <w:ind w:firstLine="420" w:firstLineChars="200"/>
    </w:pPr>
  </w:style>
  <w:style w:type="paragraph" w:styleId="6">
    <w:name w:val="Document Map"/>
    <w:basedOn w:val="1"/>
    <w:link w:val="28"/>
    <w:semiHidden/>
    <w:unhideWhenUsed/>
    <w:qFormat/>
    <w:uiPriority w:val="99"/>
    <w:rPr>
      <w:rFonts w:ascii="宋体" w:eastAsia="宋体"/>
      <w:sz w:val="18"/>
      <w:szCs w:val="18"/>
    </w:rPr>
  </w:style>
  <w:style w:type="paragraph" w:styleId="7">
    <w:name w:val="Body Text"/>
    <w:basedOn w:val="1"/>
    <w:qFormat/>
    <w:uiPriority w:val="0"/>
    <w:rPr>
      <w:rFonts w:ascii="Times New Roman" w:hAnsi="Times New Roman" w:eastAsia="宋体" w:cs="Times New Roman"/>
      <w:szCs w:val="21"/>
    </w:rPr>
  </w:style>
  <w:style w:type="paragraph" w:styleId="8">
    <w:name w:val="Plain Text"/>
    <w:basedOn w:val="1"/>
    <w:unhideWhenUsed/>
    <w:qFormat/>
    <w:uiPriority w:val="99"/>
    <w:rPr>
      <w:rFonts w:ascii="宋体" w:hAnsi="Courier New" w:eastAsia="宋体" w:cs="Courier New"/>
    </w:rPr>
  </w:style>
  <w:style w:type="paragraph" w:styleId="9">
    <w:name w:val="Date"/>
    <w:basedOn w:val="1"/>
    <w:next w:val="1"/>
    <w:link w:val="24"/>
    <w:semiHidden/>
    <w:unhideWhenUsed/>
    <w:qFormat/>
    <w:uiPriority w:val="99"/>
    <w:pPr>
      <w:ind w:left="100" w:leftChars="2500"/>
    </w:pPr>
  </w:style>
  <w:style w:type="paragraph" w:styleId="10">
    <w:name w:val="Body Text Indent 2"/>
    <w:basedOn w:val="1"/>
    <w:link w:val="34"/>
    <w:qFormat/>
    <w:uiPriority w:val="0"/>
    <w:pPr>
      <w:spacing w:beforeLines="50" w:line="560" w:lineRule="exact"/>
      <w:ind w:firstLine="560" w:firstLineChars="200"/>
    </w:pPr>
    <w:rPr>
      <w:rFonts w:ascii="宋体" w:hAnsi="宋体" w:eastAsia="宋体" w:cs="Times New Roman"/>
      <w:sz w:val="28"/>
      <w:szCs w:val="28"/>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0"/>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qFormat/>
    <w:uiPriority w:val="0"/>
  </w:style>
  <w:style w:type="character" w:styleId="20">
    <w:name w:val="Hyperlink"/>
    <w:basedOn w:val="17"/>
    <w:unhideWhenUsed/>
    <w:qFormat/>
    <w:uiPriority w:val="0"/>
    <w:rPr>
      <w:color w:val="0000FF"/>
      <w:u w:val="single"/>
    </w:rPr>
  </w:style>
  <w:style w:type="character" w:customStyle="1" w:styleId="21">
    <w:name w:val="页眉 Char"/>
    <w:basedOn w:val="17"/>
    <w:link w:val="13"/>
    <w:qFormat/>
    <w:uiPriority w:val="99"/>
    <w:rPr>
      <w:sz w:val="18"/>
      <w:szCs w:val="18"/>
    </w:rPr>
  </w:style>
  <w:style w:type="character" w:customStyle="1" w:styleId="22">
    <w:name w:val="页脚 Char"/>
    <w:basedOn w:val="17"/>
    <w:link w:val="12"/>
    <w:qFormat/>
    <w:uiPriority w:val="99"/>
    <w:rPr>
      <w:sz w:val="18"/>
      <w:szCs w:val="18"/>
    </w:rPr>
  </w:style>
  <w:style w:type="character" w:customStyle="1" w:styleId="23">
    <w:name w:val="批注框文本 Char"/>
    <w:basedOn w:val="17"/>
    <w:link w:val="11"/>
    <w:semiHidden/>
    <w:qFormat/>
    <w:uiPriority w:val="99"/>
    <w:rPr>
      <w:sz w:val="18"/>
      <w:szCs w:val="18"/>
    </w:rPr>
  </w:style>
  <w:style w:type="character" w:customStyle="1" w:styleId="24">
    <w:name w:val="日期 Char"/>
    <w:basedOn w:val="17"/>
    <w:link w:val="9"/>
    <w:semiHidden/>
    <w:qFormat/>
    <w:uiPriority w:val="99"/>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
    <w:name w:val="Char1"/>
    <w:basedOn w:val="6"/>
    <w:semiHidden/>
    <w:qFormat/>
    <w:uiPriority w:val="0"/>
    <w:pPr>
      <w:widowControl/>
      <w:shd w:val="clear" w:color="auto" w:fill="000080"/>
      <w:adjustRightInd w:val="0"/>
      <w:spacing w:line="360" w:lineRule="auto"/>
      <w:jc w:val="center"/>
      <w:outlineLvl w:val="3"/>
    </w:pPr>
    <w:rPr>
      <w:rFonts w:ascii="Tahoma" w:hAnsi="Tahoma" w:cs="宋体"/>
      <w:kern w:val="0"/>
      <w:sz w:val="24"/>
      <w:szCs w:val="24"/>
    </w:rPr>
  </w:style>
  <w:style w:type="character" w:customStyle="1" w:styleId="28">
    <w:name w:val="文档结构图 Char"/>
    <w:basedOn w:val="17"/>
    <w:link w:val="6"/>
    <w:semiHidden/>
    <w:qFormat/>
    <w:uiPriority w:val="99"/>
    <w:rPr>
      <w:rFonts w:ascii="宋体" w:eastAsia="宋体"/>
      <w:sz w:val="18"/>
      <w:szCs w:val="18"/>
    </w:rPr>
  </w:style>
  <w:style w:type="paragraph" w:customStyle="1" w:styleId="2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Subtle Emphasis"/>
    <w:qFormat/>
    <w:uiPriority w:val="19"/>
    <w:rPr>
      <w:i/>
      <w:iCs/>
      <w:color w:val="808080"/>
    </w:rPr>
  </w:style>
  <w:style w:type="paragraph" w:customStyle="1" w:styleId="31">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2">
    <w:name w:val="正文文本缩进 New"/>
    <w:basedOn w:val="31"/>
    <w:qFormat/>
    <w:uiPriority w:val="0"/>
    <w:pPr>
      <w:ind w:firstLine="640" w:firstLineChars="200"/>
    </w:pPr>
    <w:rPr>
      <w:rFonts w:ascii="宋体"/>
      <w:sz w:val="32"/>
      <w:szCs w:val="32"/>
    </w:rPr>
  </w:style>
  <w:style w:type="paragraph" w:customStyle="1" w:styleId="33">
    <w:name w:val="Default"/>
    <w:qFormat/>
    <w:uiPriority w:val="0"/>
    <w:pPr>
      <w:widowControl w:val="0"/>
      <w:autoSpaceDE w:val="0"/>
      <w:autoSpaceDN w:val="0"/>
      <w:adjustRightInd w:val="0"/>
      <w:jc w:val="both"/>
    </w:pPr>
    <w:rPr>
      <w:rFonts w:ascii="仿宋_GB2312" w:hAnsi="Times New Roman" w:eastAsia="仿宋_GB2312" w:cs="仿宋_GB2312"/>
      <w:color w:val="000000"/>
      <w:kern w:val="0"/>
      <w:sz w:val="24"/>
      <w:szCs w:val="24"/>
      <w:lang w:val="en-US" w:eastAsia="zh-CN" w:bidi="ar-SA"/>
    </w:rPr>
  </w:style>
  <w:style w:type="character" w:customStyle="1" w:styleId="34">
    <w:name w:val="正文文本缩进 2 Char"/>
    <w:basedOn w:val="17"/>
    <w:link w:val="10"/>
    <w:qFormat/>
    <w:uiPriority w:val="0"/>
    <w:rPr>
      <w:rFonts w:ascii="宋体" w:hAnsi="宋体" w:eastAsia="宋体" w:cs="Times New Roman"/>
      <w:sz w:val="28"/>
      <w:szCs w:val="2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947</Words>
  <Characters>1009</Characters>
  <Lines>6</Lines>
  <Paragraphs>1</Paragraphs>
  <TotalTime>0</TotalTime>
  <ScaleCrop>false</ScaleCrop>
  <LinksUpToDate>false</LinksUpToDate>
  <CharactersWithSpaces>1055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2019-01-10T20:29:00Z</dcterms:created>
  <dc:creator>Windows 用户</dc:creator>
  <cp:lastModifiedBy>user</cp:lastModifiedBy>
  <cp:lastPrinted>2023-02-05T15:37:00Z</cp:lastPrinted>
  <dcterms:modified xsi:type="dcterms:W3CDTF">2023-09-13T10:01:41Z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59E463DB62C545538A7008B5E882C301</vt:lpwstr>
  </property>
</Properties>
</file>