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1C" w:rsidRPr="003F711C" w:rsidRDefault="003F711C" w:rsidP="003F711C">
      <w:pPr>
        <w:ind w:firstLineChars="0" w:firstLine="0"/>
        <w:jc w:val="center"/>
        <w:rPr>
          <w:rFonts w:asciiTheme="minorEastAsia" w:hAnsiTheme="minorEastAsia" w:hint="eastAsia"/>
          <w:b/>
          <w:sz w:val="44"/>
          <w:szCs w:val="44"/>
        </w:rPr>
      </w:pPr>
      <w:r w:rsidRPr="003F711C">
        <w:rPr>
          <w:rFonts w:asciiTheme="minorEastAsia" w:hAnsiTheme="minorEastAsia" w:hint="eastAsia"/>
          <w:b/>
          <w:sz w:val="44"/>
          <w:szCs w:val="44"/>
        </w:rPr>
        <w:t>科技部关于发布国家重点研发计划“合成生物学”等重点专项2019年度项目申报指南的通知</w:t>
      </w:r>
    </w:p>
    <w:p w:rsidR="003F711C" w:rsidRPr="003F711C" w:rsidRDefault="003F711C" w:rsidP="003F711C">
      <w:pPr>
        <w:ind w:firstLine="640"/>
        <w:jc w:val="center"/>
        <w:rPr>
          <w:rFonts w:ascii="仿宋_GB2312" w:eastAsia="仿宋_GB2312" w:hint="eastAsia"/>
          <w:sz w:val="32"/>
          <w:szCs w:val="32"/>
        </w:rPr>
      </w:pPr>
      <w:r w:rsidRPr="003F711C">
        <w:rPr>
          <w:rFonts w:ascii="仿宋_GB2312" w:eastAsia="仿宋_GB2312" w:hint="eastAsia"/>
          <w:sz w:val="32"/>
          <w:szCs w:val="32"/>
        </w:rPr>
        <w:t>国科发资〔2019〕195号</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各省、自治区、直辖市及计划单列市科技厅（委、局），新疆生产建设兵团科技局，国务院各有关部门科技主管司局，各有关单位：</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根据国务院印发的《关于深化中央财政科技计划（专项、基金等）管理改革的方案》（国发〔2014〕64号）的总体部署，按照《关于鼓励香港特别行政区、澳门特别行政区高等院校和科研机构参与中央财政科技计划（专项、基金等）组织实施的若干规定（试行）》（国科发资〔2018〕43号）及国家重点研发计划组织管理的相关要求，在2018年国家重点研发计划对港澳开放申报试点的基础上，本次“合成生物学”等3个重点专项继续对港澳特区开放，鼓励港澳高校联合内地单位共同申报，现将2019年度项目申报指南予以发布。请根据指南要求组织项目申报工作。有关事项通知如下。</w:t>
      </w:r>
    </w:p>
    <w:p w:rsidR="003F711C" w:rsidRPr="003F711C" w:rsidRDefault="003F711C" w:rsidP="003F711C">
      <w:pPr>
        <w:ind w:firstLine="640"/>
        <w:rPr>
          <w:rFonts w:ascii="黑体" w:eastAsia="黑体" w:hAnsi="黑体" w:hint="eastAsia"/>
          <w:sz w:val="32"/>
          <w:szCs w:val="32"/>
        </w:rPr>
      </w:pPr>
      <w:r w:rsidRPr="003F711C">
        <w:rPr>
          <w:rFonts w:ascii="黑体" w:eastAsia="黑体" w:hAnsi="黑体" w:hint="eastAsia"/>
          <w:sz w:val="32"/>
          <w:szCs w:val="32"/>
        </w:rPr>
        <w:t>一、项目组织申报工作流程</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1.申报单位根据指南支持方向的研究内容以项目形式组织申报，项目可下设课题。项目应整体申报，须覆盖相应指南方向的全部考核指标。项目申报单位推荐1名科研</w:t>
      </w:r>
      <w:r w:rsidRPr="003F711C">
        <w:rPr>
          <w:rFonts w:ascii="仿宋_GB2312" w:eastAsia="仿宋_GB2312" w:hint="eastAsia"/>
          <w:sz w:val="32"/>
          <w:szCs w:val="32"/>
        </w:rPr>
        <w:lastRenderedPageBreak/>
        <w:t>人员作为项目负责人，每个课题设1名负责人，项目负责人可担任其中1个课题的负责人。</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2.项目的组织实施应整合集成全国相关领域的优势创新团队，聚焦研发问题，强化基础研究、共性关键技术研发和典型应用示范各项任务间的统筹衔接，集中力量，联合攻关。</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3.国家重点研发计划项目申报评审采取填写预申报书、正式申报书两步进行，具体工作流程如下：</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项目申报单位根据指南相关申报要求，通过国家科技管理信息系统填写并提交3000字左右的项目预申报书，详细说明申报项目的目标和指标，简要说明创新思路、技术路线和研究基础。从指南发布日到预申报书受理截止日不少于50天。</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项目牵头申报单位应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——各推荐单位加强对所推荐的项目申报材料审核把关，按时将推荐项目通过国家科技管理信息系统统一报送。</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lastRenderedPageBreak/>
        <w:t>——专业机构受理项目预申报。为确保合理的竞争度，对于非定向申报的单个指南方向，若申报团队数量不多于拟支持的项目数量，该指南方向不启动后续项目评审立项程序，择期重新研究发布指南。</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专业机构组织形式审查，并根据申报情况开展首轮评审工作。首轮评审不需要项目负责人进行答辩。根据专家的评审结果，遴选出3~4倍于拟立项数量的申报项目，进入答辩评审。对于未进入答辩评审的申报项目，及时将评审结果反馈项目申报单位和负责人。</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——申报单位在接到专业机构关于进入答辩评审的通知后，通过国家科技管理信息系统填写并提交项目正式申报书。正式申报书受理时间为30天。</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专业机构对进入答辩评审的项目申报书进行形式审查，并组织答辩评审。申报项目的负责人通过网络视频进行报告答辩。根据专家评议情况择优立项。对于支持1~2项的指南方向，原则上只支持1项，如答辩评审结果前两位的申报项目评价相近，且技术路线明显不同，可同时立项支持，并建立动态调整机制，结合过程管理开展中期评估，根据评估结果确定后续支持方式。</w:t>
      </w:r>
    </w:p>
    <w:p w:rsidR="003F711C" w:rsidRPr="003F711C" w:rsidRDefault="003F711C" w:rsidP="003F711C">
      <w:pPr>
        <w:ind w:firstLine="640"/>
        <w:rPr>
          <w:rFonts w:ascii="黑体" w:eastAsia="黑体" w:hAnsi="黑体" w:hint="eastAsia"/>
          <w:sz w:val="32"/>
          <w:szCs w:val="32"/>
        </w:rPr>
      </w:pPr>
      <w:r w:rsidRPr="003F711C">
        <w:rPr>
          <w:rFonts w:ascii="黑体" w:eastAsia="黑体" w:hAnsi="黑体" w:hint="eastAsia"/>
          <w:sz w:val="32"/>
          <w:szCs w:val="32"/>
        </w:rPr>
        <w:t>二、组织申报的推荐单位</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1.国务院有关部门科技主管司局；</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2.各省、自治区、直辖市、计划单列市及新疆生产建设兵团科技主管部门；</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lastRenderedPageBreak/>
        <w:t>3.原工业部门转制成立的行业协会；</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4.纳入科技部试点范围并且评估结果为A类的产业技术创新战略联盟，以及纳入科技部、财政部开展的科技服务业创新发展行业试点联盟。</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5.港澳高校牵头申报的项目，分别由香港创新科技署、澳门科学技术发展基金按要求组织推荐。</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各推荐单位应在本单位职能和业务范围内组织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p>
    <w:p w:rsidR="003F711C" w:rsidRPr="003F711C" w:rsidRDefault="003F711C" w:rsidP="003F711C">
      <w:pPr>
        <w:ind w:firstLine="640"/>
        <w:rPr>
          <w:rFonts w:ascii="黑体" w:eastAsia="黑体" w:hAnsi="黑体" w:hint="eastAsia"/>
          <w:sz w:val="32"/>
          <w:szCs w:val="32"/>
        </w:rPr>
      </w:pPr>
      <w:r w:rsidRPr="003F711C">
        <w:rPr>
          <w:rFonts w:ascii="黑体" w:eastAsia="黑体" w:hAnsi="黑体" w:hint="eastAsia"/>
          <w:sz w:val="32"/>
          <w:szCs w:val="32"/>
        </w:rPr>
        <w:t>三、申请资格要求</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1.项目牵头申报单位和项目参与单位应为中国大陆境内注册的科研院所、高等学校和企业等（以下简称内地单位），或由内地与香港、内地与澳门科技合作委员会协商确定的港澳高校（名单见附件1）。内地单位应具有独立法人资格，注册时间为2018年4月30日前，有较强的科技研发能力和条件，运行管理规范。国家机关不得牵头或参与申报。</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lastRenderedPageBreak/>
        <w:t>项目牵头申报单位、项目参与单位以及项目团队成员诚信状况良好，无在惩戒执行期内的科研严重失信行为记录和相关社会领域信用“黑名单”记录。</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申报单位同一个项目只能通过单个推荐单位申报，不得多头申报和重复申报。</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2.项目（课题）负责人须具有高级职称或博士学位，1959年1月1日以后出生，每年用于项目的工作时间不得少于6个月。港澳申报人员应爱国爱港、爱国爱澳。</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3.项目（课题）负责人原则上应为该项目（课题）主体研究思路的提出者和实际主持研究的科技人员。中央、地方各级国家机关及港澳特区的公务人员（包括行使科技计划管理职能的其他人员）不得申报项目（课题）。</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4.项目（课题）负责人限申报1个项目（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课题）。国家重点研发计划重点专项的在研项目（不含任务或课题负责人）负责人也不得参与申报项目（课题）。</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项目（课题）负责人、项目骨干的申报项目和改革前计划、国家科技重大专项、国家重点研发计划在研项目</w:t>
      </w:r>
      <w:r w:rsidRPr="003F711C">
        <w:rPr>
          <w:rFonts w:ascii="仿宋_GB2312" w:eastAsia="仿宋_GB2312" w:hint="eastAsia"/>
          <w:sz w:val="32"/>
          <w:szCs w:val="32"/>
        </w:rPr>
        <w:lastRenderedPageBreak/>
        <w:t>（课题）总数不得超过2个；改革前计划、国家科技重大专项、国家重点研发计划的在研项目（含任务或课题）负责人不得因申报国家重点研发计划重点专项项目（课题）而退出目前承担的项目（含任务或课题）；国家重点研发计划的在研项目（含任务或课题）负责人和项目骨干退出项目研发团队后，在原项目执行期内原则上不得牵头或参与申报新的国家重点研发计划项目。</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计划任务书执行期（包括延期后的执行期）到2019年12月31日之前的在研项目（含任务或课题）不在限项范围内。</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5.特邀咨评委委员不得申报项目（课题）；参与重点专项实施方案或本年度项目指南编制的专家，不得申报该重点专项项目（课题）。</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6.受聘于内地单位或有关港澳高校的外籍科学家及港、澳、台地区科学家可作为重点专项的项目（课题）负责人，全职受聘人员须提供全职聘用的有效材料，非全职受聘人员须由双方单位同时提供聘用的有效材料，并随纸质项目预申报书一并报送。</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7.申报项目受理后，原则上不得更改申报单位和负责人。</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8.项目的具体申报要求，详见各重点专项的申报指南。</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lastRenderedPageBreak/>
        <w:t>各申报单位在正式提交项目申报书前可利用国家科技管理信息系统公共服务平台查询相关科研人员承担改革前计划和国家科技重大专项、国家重点研发计划重点专项在研项目情况，避免重复申报。</w:t>
      </w:r>
    </w:p>
    <w:p w:rsidR="003F711C" w:rsidRPr="003F711C" w:rsidRDefault="003F711C" w:rsidP="003F711C">
      <w:pPr>
        <w:ind w:firstLine="640"/>
        <w:rPr>
          <w:rFonts w:ascii="黑体" w:eastAsia="黑体" w:hAnsi="黑体" w:hint="eastAsia"/>
          <w:sz w:val="32"/>
          <w:szCs w:val="32"/>
        </w:rPr>
      </w:pPr>
      <w:bookmarkStart w:id="0" w:name="_GoBack"/>
      <w:r w:rsidRPr="003F711C">
        <w:rPr>
          <w:rFonts w:ascii="黑体" w:eastAsia="黑体" w:hAnsi="黑体" w:hint="eastAsia"/>
          <w:sz w:val="32"/>
          <w:szCs w:val="32"/>
        </w:rPr>
        <w:t>四、具体申报方式</w:t>
      </w:r>
    </w:p>
    <w:bookmarkEnd w:id="0"/>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1.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项目申报单位网上填报预申报书的受理时间为：2019年6月18日8:00至2019年8月7日16:00。进入答辩评审环节的申报项目，由申报单位按要求填报正式申报书，并通过国家科技管理信息系统提交，具体时间和有关要求另行通知。</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国家科技管理信息系统公共服务平台：</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http://service.most.gov.cn；</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技术咨询电话：010-58882999（中继线）；</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技术咨询邮箱：program@istic.ac.cn。</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2.组织推荐。请推荐单位于2019年8月13日前（以寄出时间为准），将加盖推荐单位公章的推荐函（纸质，一式2份）、推荐项目清单（纸质，一式2份）寄送中国科学</w:t>
      </w:r>
      <w:r w:rsidRPr="003F711C">
        <w:rPr>
          <w:rFonts w:ascii="仿宋_GB2312" w:eastAsia="仿宋_GB2312" w:hint="eastAsia"/>
          <w:sz w:val="32"/>
          <w:szCs w:val="32"/>
        </w:rPr>
        <w:lastRenderedPageBreak/>
        <w:t>技术信息研究所。推荐项目清单须通过系统直接生成打印（项目清单应与信息系统中提交的推荐项目一致）。</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寄送地址：北京市海淀区复兴路15号中信所170室，邮编：100038。</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联系电话：010-58882171。</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3.材料报送和业务咨询。请申报单位于2019年8月13日前（以寄出时间为准），将加盖申报单位公章的项目预申报书（纸质，一式2份），寄送承担项目所属重点专项管理的专业机构。项目预申报书须通过系统直接生成打印。</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各重点专项的咨询电话及寄送地址如下：</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（1）“合成生物学”重点专项咨询电话：010-88225123，010-88225178。</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寄送地址：北京市海淀区西四环中路16号4号楼中国生物技术发展中心，邮编：100039。</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（2）“变革性技术关键科学问题”重点专项咨询电话：010-68104823。</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（3）“发育编程及其代谢调节”重点专项咨询电话：010-68104388。</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寄送地址：北京市海淀区三里河路一号西苑饭店九号楼科学技术部高技术研究发展中心（计划与监督处），邮编：100044。</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附件：1.内地与香港、内地与澳门科技合作委员会协商确定的港澳高校名单</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lastRenderedPageBreak/>
        <w:t>2.“合成生物学”重点专项2019年度项目申报指南（形式审查条件要求、指南编制专家名单）</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3.“变革性技术关键科学问题”重点专项2019年度项目申报指南（形式审查条件要求、指南编制专家名单）</w:t>
      </w:r>
    </w:p>
    <w:p w:rsidR="003F711C" w:rsidRPr="003F711C" w:rsidRDefault="003F711C" w:rsidP="003F711C">
      <w:pPr>
        <w:ind w:firstLine="640"/>
        <w:rPr>
          <w:rFonts w:ascii="仿宋_GB2312" w:eastAsia="仿宋_GB2312" w:hint="eastAsia"/>
          <w:sz w:val="32"/>
          <w:szCs w:val="32"/>
        </w:rPr>
      </w:pPr>
      <w:r w:rsidRPr="003F711C">
        <w:rPr>
          <w:rFonts w:ascii="仿宋_GB2312" w:eastAsia="仿宋_GB2312" w:hint="eastAsia"/>
          <w:sz w:val="32"/>
          <w:szCs w:val="32"/>
        </w:rPr>
        <w:t>4.“发育编程及其代谢调节”重点专项2019年度项目申报指南（形式审查条件要求、指南编制专家名单）</w:t>
      </w:r>
    </w:p>
    <w:p w:rsidR="003F711C" w:rsidRPr="003F711C" w:rsidRDefault="003F711C" w:rsidP="003F711C">
      <w:pPr>
        <w:ind w:firstLine="640"/>
        <w:rPr>
          <w:rFonts w:ascii="仿宋_GB2312" w:eastAsia="仿宋_GB2312" w:hint="eastAsia"/>
          <w:sz w:val="32"/>
          <w:szCs w:val="32"/>
        </w:rPr>
      </w:pPr>
    </w:p>
    <w:p w:rsidR="003F711C" w:rsidRPr="003F711C" w:rsidRDefault="003F711C" w:rsidP="003F711C">
      <w:pPr>
        <w:ind w:firstLine="640"/>
        <w:jc w:val="right"/>
        <w:rPr>
          <w:rFonts w:ascii="仿宋_GB2312" w:eastAsia="仿宋_GB2312" w:hint="eastAsia"/>
          <w:sz w:val="32"/>
          <w:szCs w:val="32"/>
        </w:rPr>
      </w:pPr>
      <w:r w:rsidRPr="003F711C">
        <w:rPr>
          <w:rFonts w:ascii="仿宋_GB2312" w:eastAsia="仿宋_GB2312" w:hint="eastAsia"/>
          <w:sz w:val="32"/>
          <w:szCs w:val="32"/>
        </w:rPr>
        <w:t>科技部</w:t>
      </w:r>
    </w:p>
    <w:p w:rsidR="003F711C" w:rsidRPr="003F711C" w:rsidRDefault="003F711C" w:rsidP="003F711C">
      <w:pPr>
        <w:ind w:firstLine="640"/>
        <w:jc w:val="right"/>
        <w:rPr>
          <w:rFonts w:ascii="仿宋_GB2312" w:eastAsia="仿宋_GB2312" w:hint="eastAsia"/>
          <w:sz w:val="32"/>
          <w:szCs w:val="32"/>
        </w:rPr>
      </w:pPr>
      <w:r w:rsidRPr="003F711C">
        <w:rPr>
          <w:rFonts w:ascii="仿宋_GB2312" w:eastAsia="仿宋_GB2312" w:hint="eastAsia"/>
          <w:sz w:val="32"/>
          <w:szCs w:val="32"/>
        </w:rPr>
        <w:t>2019年6月4日签发</w:t>
      </w:r>
    </w:p>
    <w:p w:rsidR="003F711C" w:rsidRPr="003F711C" w:rsidRDefault="003F711C" w:rsidP="003F711C">
      <w:pPr>
        <w:ind w:firstLine="640"/>
        <w:jc w:val="right"/>
        <w:rPr>
          <w:rFonts w:ascii="仿宋_GB2312" w:eastAsia="仿宋_GB2312" w:hint="eastAsia"/>
          <w:sz w:val="32"/>
          <w:szCs w:val="32"/>
        </w:rPr>
      </w:pPr>
      <w:r w:rsidRPr="003F711C">
        <w:rPr>
          <w:rFonts w:ascii="仿宋_GB2312" w:eastAsia="仿宋_GB2312" w:hint="eastAsia"/>
          <w:sz w:val="32"/>
          <w:szCs w:val="32"/>
        </w:rPr>
        <w:t>2019年6月14日发布</w:t>
      </w:r>
    </w:p>
    <w:p w:rsidR="003F711C" w:rsidRPr="003F711C" w:rsidRDefault="003F711C" w:rsidP="003F711C">
      <w:pPr>
        <w:ind w:firstLine="640"/>
        <w:jc w:val="right"/>
        <w:rPr>
          <w:rFonts w:ascii="仿宋_GB2312" w:eastAsia="仿宋_GB2312" w:hint="eastAsia"/>
          <w:sz w:val="32"/>
          <w:szCs w:val="32"/>
        </w:rPr>
      </w:pPr>
      <w:r w:rsidRPr="003F711C">
        <w:rPr>
          <w:rFonts w:ascii="仿宋_GB2312" w:eastAsia="仿宋_GB2312" w:hint="eastAsia"/>
          <w:sz w:val="32"/>
          <w:szCs w:val="32"/>
        </w:rPr>
        <w:t>（此件主动公开）</w:t>
      </w:r>
    </w:p>
    <w:p w:rsidR="003F711C" w:rsidRPr="003F711C" w:rsidRDefault="003F711C">
      <w:pPr>
        <w:ind w:firstLine="640"/>
        <w:rPr>
          <w:rFonts w:ascii="仿宋_GB2312" w:eastAsia="仿宋_GB2312" w:hint="eastAsia"/>
          <w:sz w:val="32"/>
          <w:szCs w:val="32"/>
        </w:rPr>
      </w:pPr>
    </w:p>
    <w:p w:rsidR="003F711C" w:rsidRPr="003F711C" w:rsidRDefault="003F711C">
      <w:pPr>
        <w:ind w:firstLine="640"/>
        <w:rPr>
          <w:rFonts w:ascii="仿宋_GB2312" w:eastAsia="仿宋_GB2312" w:hint="eastAsia"/>
          <w:sz w:val="32"/>
          <w:szCs w:val="32"/>
        </w:rPr>
      </w:pPr>
    </w:p>
    <w:p w:rsidR="00E02082" w:rsidRPr="003F711C" w:rsidRDefault="00E02082">
      <w:pPr>
        <w:ind w:firstLine="640"/>
        <w:rPr>
          <w:rFonts w:ascii="仿宋_GB2312" w:eastAsia="仿宋_GB2312" w:hint="eastAsia"/>
          <w:sz w:val="32"/>
          <w:szCs w:val="32"/>
        </w:rPr>
      </w:pPr>
    </w:p>
    <w:sectPr w:rsidR="00E02082" w:rsidRPr="003F711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BCE" w:rsidRDefault="00772BCE" w:rsidP="003F711C">
      <w:pPr>
        <w:spacing w:line="240" w:lineRule="auto"/>
        <w:ind w:firstLine="420"/>
      </w:pPr>
      <w:r>
        <w:separator/>
      </w:r>
    </w:p>
  </w:endnote>
  <w:endnote w:type="continuationSeparator" w:id="0">
    <w:p w:rsidR="00772BCE" w:rsidRDefault="00772BCE" w:rsidP="003F711C">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BCE" w:rsidRDefault="00772BCE" w:rsidP="003F711C">
      <w:pPr>
        <w:spacing w:line="240" w:lineRule="auto"/>
        <w:ind w:firstLine="420"/>
      </w:pPr>
      <w:r>
        <w:separator/>
      </w:r>
    </w:p>
  </w:footnote>
  <w:footnote w:type="continuationSeparator" w:id="0">
    <w:p w:rsidR="00772BCE" w:rsidRDefault="00772BCE" w:rsidP="003F711C">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rsidP="003F711C">
    <w:pPr>
      <w:pStyle w:val="a3"/>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11C" w:rsidRDefault="003F711C">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959"/>
    <w:rsid w:val="003F711C"/>
    <w:rsid w:val="00771959"/>
    <w:rsid w:val="00772BCE"/>
    <w:rsid w:val="00E02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9BEF95-902F-4F60-A759-DACE5F559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600" w:lineRule="exact"/>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711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3F711C"/>
    <w:rPr>
      <w:sz w:val="18"/>
      <w:szCs w:val="18"/>
    </w:rPr>
  </w:style>
  <w:style w:type="paragraph" w:styleId="a4">
    <w:name w:val="footer"/>
    <w:basedOn w:val="a"/>
    <w:link w:val="Char0"/>
    <w:uiPriority w:val="99"/>
    <w:unhideWhenUsed/>
    <w:rsid w:val="003F711C"/>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3F711C"/>
    <w:rPr>
      <w:sz w:val="18"/>
      <w:szCs w:val="18"/>
    </w:rPr>
  </w:style>
  <w:style w:type="paragraph" w:styleId="a5">
    <w:name w:val="Normal (Web)"/>
    <w:basedOn w:val="a"/>
    <w:uiPriority w:val="99"/>
    <w:semiHidden/>
    <w:unhideWhenUsed/>
    <w:rsid w:val="003F711C"/>
    <w:pPr>
      <w:spacing w:before="100" w:beforeAutospacing="1" w:after="100" w:afterAutospacing="1" w:line="525" w:lineRule="atLeast"/>
      <w:ind w:firstLineChars="0" w:firstLine="0"/>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604</Words>
  <Characters>3443</Characters>
  <Application>Microsoft Office Word</Application>
  <DocSecurity>0</DocSecurity>
  <Lines>28</Lines>
  <Paragraphs>8</Paragraphs>
  <ScaleCrop>false</ScaleCrop>
  <Company/>
  <LinksUpToDate>false</LinksUpToDate>
  <CharactersWithSpaces>4039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c:creator>
  <cp:keywords/>
  <dc:description/>
  <cp:lastModifiedBy>sn</cp:lastModifiedBy>
  <cp:revision>2</cp:revision>
  <dcterms:created xsi:type="dcterms:W3CDTF">2019-07-30T01:44:00Z</dcterms:created>
  <dcterms:modified xsi:type="dcterms:W3CDTF">2019-07-30T01:48:00Z</dcterms:modified>
</cp:coreProperties>
</file>